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jc w:val="center"/>
        <w:rPr>
          <w:rFonts w:eastAsia="方正小标宋简体"/>
          <w:bCs/>
          <w:color w:val="000000"/>
          <w:sz w:val="44"/>
          <w:szCs w:val="44"/>
        </w:rPr>
      </w:pPr>
      <w:bookmarkStart w:id="0" w:name="_GoBack"/>
      <w:bookmarkEnd w:id="0"/>
      <w:r>
        <w:rPr>
          <w:rFonts w:eastAsia="方正小标宋简体"/>
          <w:bCs/>
          <w:color w:val="000000"/>
          <w:sz w:val="44"/>
          <w:szCs w:val="44"/>
        </w:rPr>
        <w:t>高等学校实验室安全检查项目表（2022年）</w:t>
      </w:r>
    </w:p>
    <w:p>
      <w:pPr>
        <w:adjustRightInd w:val="0"/>
        <w:snapToGrid w:val="0"/>
        <w:spacing w:after="156" w:afterLines="50" w:line="500" w:lineRule="exact"/>
        <w:jc w:val="center"/>
        <w:rPr>
          <w:rFonts w:eastAsia="黑体"/>
          <w:b/>
          <w:color w:val="000000"/>
          <w:sz w:val="36"/>
          <w:szCs w:val="30"/>
        </w:rPr>
      </w:pP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jc w:val="center"/>
              <w:rPr>
                <w:rFonts w:eastAsia="黑体"/>
                <w:kern w:val="0"/>
                <w:sz w:val="24"/>
              </w:rPr>
            </w:pPr>
            <w:r>
              <w:rPr>
                <w:rFonts w:eastAsia="黑体"/>
                <w:kern w:val="0"/>
                <w:sz w:val="24"/>
              </w:rPr>
              <w:t>序号</w:t>
            </w:r>
          </w:p>
        </w:tc>
        <w:tc>
          <w:tcPr>
            <w:tcW w:w="3820" w:type="dxa"/>
            <w:tcMar>
              <w:left w:w="45" w:type="dxa"/>
              <w:right w:w="45" w:type="dxa"/>
            </w:tcMar>
            <w:vAlign w:val="center"/>
          </w:tcPr>
          <w:p>
            <w:pPr>
              <w:spacing w:line="300" w:lineRule="exact"/>
              <w:jc w:val="center"/>
              <w:rPr>
                <w:rFonts w:eastAsia="黑体"/>
                <w:kern w:val="0"/>
                <w:sz w:val="24"/>
              </w:rPr>
            </w:pPr>
            <w:r>
              <w:rPr>
                <w:rFonts w:eastAsia="黑体"/>
                <w:kern w:val="0"/>
                <w:sz w:val="24"/>
              </w:rPr>
              <w:t>检查项目</w:t>
            </w:r>
          </w:p>
        </w:tc>
        <w:tc>
          <w:tcPr>
            <w:tcW w:w="7660" w:type="dxa"/>
            <w:tcMar>
              <w:left w:w="45" w:type="dxa"/>
              <w:right w:w="45" w:type="dxa"/>
            </w:tcMar>
            <w:vAlign w:val="center"/>
          </w:tcPr>
          <w:p>
            <w:pPr>
              <w:spacing w:line="300" w:lineRule="exact"/>
              <w:jc w:val="center"/>
              <w:rPr>
                <w:rFonts w:eastAsia="黑体"/>
                <w:kern w:val="0"/>
                <w:sz w:val="24"/>
              </w:rPr>
            </w:pPr>
            <w:r>
              <w:rPr>
                <w:rFonts w:eastAsia="黑体"/>
                <w:kern w:val="0"/>
                <w:sz w:val="24"/>
              </w:rPr>
              <w:t>检查要点</w:t>
            </w:r>
          </w:p>
        </w:tc>
        <w:tc>
          <w:tcPr>
            <w:tcW w:w="2543" w:type="dxa"/>
            <w:tcMar>
              <w:left w:w="45" w:type="dxa"/>
              <w:right w:w="45" w:type="dxa"/>
            </w:tcMar>
            <w:vAlign w:val="center"/>
          </w:tcPr>
          <w:p>
            <w:pPr>
              <w:spacing w:line="300" w:lineRule="exact"/>
              <w:jc w:val="center"/>
              <w:rPr>
                <w:rFonts w:eastAsia="黑体"/>
                <w:kern w:val="0"/>
                <w:sz w:val="24"/>
              </w:rPr>
            </w:pPr>
            <w:r>
              <w:rPr>
                <w:rFonts w:eastAsia="黑体"/>
                <w:kern w:val="0"/>
                <w:sz w:val="24"/>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有校级实验室安全工作责任人与领导机构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有校级正式发文，明确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（2）明确牵头职能部门负责实验室安全工作，相关职能部门切实配合落实工作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学校与院系签订实验室安全管理责任书/告知书</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（3）档案或信息系统里有现任学校领导与院系负责人签字盖章的安全责任书/告知书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pPr>
              <w:rPr>
                <w:rFonts w:eastAsia="仿宋"/>
                <w:kern w:val="0"/>
                <w:szCs w:val="21"/>
              </w:rPr>
            </w:pPr>
            <w:r>
              <w:rPr>
                <w:rFonts w:eastAsia="仿宋"/>
                <w:kern w:val="0"/>
                <w:szCs w:val="21"/>
              </w:rPr>
              <w:t>实验室安全工作纳入学校决策研究事项</w:t>
            </w:r>
          </w:p>
        </w:tc>
        <w:tc>
          <w:tcPr>
            <w:tcW w:w="7660" w:type="dxa"/>
            <w:tcMar>
              <w:left w:w="45" w:type="dxa"/>
              <w:right w:w="45" w:type="dxa"/>
            </w:tcMar>
            <w:vAlign w:val="center"/>
          </w:tcPr>
          <w:p>
            <w:pPr>
              <w:rPr>
                <w:rFonts w:eastAsia="仿宋"/>
                <w:kern w:val="0"/>
                <w:szCs w:val="21"/>
              </w:rPr>
            </w:pPr>
            <w:r>
              <w:rPr>
                <w:rFonts w:eastAsia="仿宋"/>
                <w:kern w:val="0"/>
                <w:szCs w:val="21"/>
              </w:rPr>
              <w:t>（4）有学校相关会议（校务会议、党委常委会会议等）纪要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（5）有带文号的院系文件如党政联席会/办公会等纪要、通知或制度等明确其内容</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（6）有</w:t>
            </w:r>
            <w:r>
              <w:rPr>
                <w:rFonts w:eastAsia="仿宋"/>
                <w:bCs/>
                <w:kern w:val="0"/>
                <w:szCs w:val="21"/>
              </w:rPr>
              <w:t>带文号的院系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（7）有文件资料或网络档案证明实验室（研究所、中心、教研室及具体实验室等）有安全责任人与安全员</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（8）签订责任书到实验房间安全责任人，及每一位使用实验室的教职员工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（9）学校职能部门有预算审批凭据证明有专款用于实验室安全工作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（10）学校职能部门有支出凭据证明有专款用于实验室安全工作，尤其是用于重大安全隐患整改项目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（11）院系有支出凭据证明有专款用于实验室安全工作</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pPr>
              <w:spacing w:line="300" w:lineRule="exact"/>
              <w:rPr>
                <w:rFonts w:eastAsia="仿宋"/>
                <w:szCs w:val="21"/>
              </w:rPr>
            </w:pPr>
            <w:r>
              <w:rPr>
                <w:rFonts w:eastAsia="仿宋"/>
                <w:kern w:val="0"/>
                <w:szCs w:val="21"/>
              </w:rPr>
              <w:t>（12）有重要危险源，即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eastAsia="仿宋"/>
                <w:kern w:val="0"/>
                <w:szCs w:val="21"/>
              </w:rPr>
              <w:t>的高校应依据工作量，在校级管理机构配备足够的专职实验室安全管理人员；</w:t>
            </w:r>
          </w:p>
          <w:p>
            <w:pPr>
              <w:widowControl/>
              <w:spacing w:line="300" w:lineRule="exact"/>
              <w:rPr>
                <w:rFonts w:eastAsia="仿宋"/>
                <w:kern w:val="0"/>
                <w:szCs w:val="21"/>
              </w:rPr>
            </w:pPr>
            <w:r>
              <w:rPr>
                <w:rFonts w:eastAsia="仿宋"/>
                <w:kern w:val="0"/>
                <w:szCs w:val="21"/>
              </w:rPr>
              <w:t>（13）有重要危险源的院系应依据工作量配备专职实验室安全管理人员；文、管、艺术类、数学及信息相关工学等院系配备兼职实验室安全管理人员</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（14）有校级文件证明学校设立了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（15）有培训记录（证书、电子文档、书面记录）等证明培训及合格情况</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（16）学校建设信息管理等系统用于实验室安全管理</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（17）包括责任体系、队伍建设、安全制度、奖惩、教育培训、安全检查、隐患整改、事故调查与处理、专业安全、其他相关的常规或阶段性工作归档资料等，且档案分类规范合理，便于查找</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有校级实验室安全管理制度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 xml:space="preserve">（18）有正式发文的校级实验室安全管理规定，内容包括上位法依据、实验室范围、安全管理原则、组织架构、责任体系、奖惩、事故处理、责任与追究、安全文化等要素 </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有校级实验室安全管理办法或细则、应急预案</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（19）学校或职能部门依据危险源情况制定实验室分级分类、准入管理、安全检查、奖惩，以及各类专业安全等二级管理办法，并正式发文；</w:t>
            </w:r>
          </w:p>
          <w:p>
            <w:pPr>
              <w:spacing w:line="300" w:lineRule="exact"/>
              <w:rPr>
                <w:rFonts w:eastAsia="仿宋"/>
                <w:bCs/>
                <w:kern w:val="0"/>
                <w:szCs w:val="21"/>
              </w:rPr>
            </w:pPr>
            <w:r>
              <w:rPr>
                <w:rFonts w:eastAsia="仿宋"/>
                <w:bCs/>
                <w:kern w:val="0"/>
                <w:szCs w:val="21"/>
              </w:rPr>
              <w:t>（20）有校级的实验室安全事故应急处置预案，并正式发文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（21）建有院系特色的实验室安全管理制度，包含安全检查、风险评估、实验室准入、应急预案、安全培训等内容；制度文件应有院系正式发文，并及时修订更新；文件应具有可操作性或实际管理效用</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（22）对于有</w:t>
            </w:r>
            <w:r>
              <w:rPr>
                <w:rFonts w:eastAsia="仿宋"/>
                <w:kern w:val="0"/>
                <w:szCs w:val="21"/>
              </w:rPr>
              <w:t>重要危险源</w:t>
            </w:r>
            <w:r>
              <w:rPr>
                <w:rFonts w:eastAsia="仿宋"/>
                <w:bCs/>
                <w:kern w:val="0"/>
                <w:szCs w:val="21"/>
              </w:rPr>
              <w:t>（见第12目）的院系和专业，要开设有学分的安全教育必修课或将安全教育课程纳入必修环节；鼓励其他专业开设安全选修课</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（23）校级层面每年有档案证明开展了实验室安全教育培训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（24）院系层面每年有档案证明开展了实验室安全教育培训，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（25）每年有校级的实验室安全事故应急演练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（26）建设有考试系统或考试题库并及时更新，从事实验工作的学生、教职工及外来人员均需参加考试，通过者发放合格证书或保留记录</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（27）学校有网页设立专栏开展安全宣传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（28）将实验室安全手册发放到每一位从事实验活动的师生</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（29）通过微信公众号、微博、工作简报、文化月、专项整治活动、安全评估、知识竞赛、微电影等方式，加强安全宣传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（30）清单内容需包括单位、房间、类别、数量、责任人等信息</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（31）涉及重要危险源（见第12目）的场所，有显著的警示标识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建立针对重要危险源的风险评估和应急管控方案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（32）学校、院系、实验室应逐级建立风险分级管控方案</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pPr>
              <w:spacing w:line="300" w:lineRule="exact"/>
              <w:rPr>
                <w:rFonts w:eastAsia="仿宋"/>
                <w:kern w:val="0"/>
                <w:szCs w:val="21"/>
              </w:rPr>
            </w:pPr>
            <w:r>
              <w:rPr>
                <w:rFonts w:eastAsia="仿宋"/>
                <w:bCs/>
                <w:kern w:val="0"/>
                <w:szCs w:val="21"/>
              </w:rPr>
              <w:t>学校层面开展定期/不定期检查</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（33）每年不少于4次，并记录存档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（34）每月不少于1次，并记录存档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（35）针对</w:t>
            </w:r>
            <w:r>
              <w:rPr>
                <w:rFonts w:eastAsia="仿宋"/>
                <w:bCs/>
                <w:kern w:val="0"/>
                <w:szCs w:val="21"/>
              </w:rPr>
              <w:t>重要险源（见第12目）</w:t>
            </w:r>
            <w:r>
              <w:rPr>
                <w:rFonts w:eastAsia="仿宋"/>
                <w:kern w:val="0"/>
                <w:szCs w:val="21"/>
              </w:rPr>
              <w:t>，开展定期专项检查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实验室房间须建立自检自查台账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（36）定期检查</w:t>
            </w:r>
            <w:r>
              <w:rPr>
                <w:rFonts w:eastAsia="仿宋"/>
                <w:bCs/>
                <w:kern w:val="0"/>
                <w:szCs w:val="21"/>
              </w:rPr>
              <w:t>并留存记录</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（37）安全检查人员要佩戴标识、配备照相器具；</w:t>
            </w:r>
          </w:p>
          <w:p>
            <w:pPr>
              <w:widowControl/>
              <w:spacing w:line="300" w:lineRule="exact"/>
              <w:rPr>
                <w:rFonts w:eastAsia="仿宋"/>
                <w:kern w:val="0"/>
                <w:szCs w:val="21"/>
              </w:rPr>
            </w:pPr>
            <w:r>
              <w:rPr>
                <w:rFonts w:eastAsia="仿宋"/>
                <w:szCs w:val="21"/>
              </w:rPr>
              <w:t>（38）进入涉及危化品、生物、辐射等实验室要穿戴必要的防护装具；检查辐射场所要佩戴个人辐射剂量计；配备必要的测量、计量用具（手持式VOC检测仪、声级计、风速仪、电笔、万用表等）</w:t>
            </w:r>
          </w:p>
        </w:tc>
        <w:tc>
          <w:tcPr>
            <w:tcW w:w="2543"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（39）通知的方式包括校网上公告、实验室安全简报、书面或电子的整改通知书等形式</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（40）整改报告应在规定时间内提交学校管理部门；</w:t>
            </w:r>
          </w:p>
          <w:p>
            <w:pPr>
              <w:widowControl/>
              <w:spacing w:line="300" w:lineRule="exact"/>
              <w:rPr>
                <w:rFonts w:eastAsia="仿宋"/>
                <w:kern w:val="0"/>
                <w:szCs w:val="21"/>
              </w:rPr>
            </w:pPr>
            <w:r>
              <w:rPr>
                <w:rFonts w:eastAsia="仿宋"/>
                <w:kern w:val="0"/>
                <w:szCs w:val="21"/>
              </w:rPr>
              <w:t>（41）如存在重大隐患，实验室应立即停止实验活动，整改完成或采取相应防护措施后方能恢复实验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（42）存有相关资料或电子文档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（43）存有相关资料或电子文档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（44）每个房间门口挂有安全信息牌，信息包括：安全风险点的警示标识、安全责任人、涉及危险类别、防护措施和有效的应急联系电话等，并及时更新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（45）超过200平方米的实验楼层具有至少两处紧急出口，75平方米以上实验室要有两个出入口；</w:t>
            </w:r>
          </w:p>
          <w:p>
            <w:pPr>
              <w:widowControl/>
              <w:spacing w:line="300" w:lineRule="exact"/>
              <w:rPr>
                <w:rFonts w:eastAsia="仿宋"/>
                <w:szCs w:val="21"/>
              </w:rPr>
            </w:pPr>
            <w:r>
              <w:rPr>
                <w:rFonts w:eastAsia="仿宋"/>
                <w:szCs w:val="21"/>
              </w:rPr>
              <w:t>（46）实验楼大走廊保证留有大于1.5米净宽的消防通道；</w:t>
            </w:r>
          </w:p>
          <w:p>
            <w:pPr>
              <w:widowControl/>
              <w:spacing w:line="300" w:lineRule="exact"/>
              <w:rPr>
                <w:rFonts w:eastAsia="仿宋"/>
                <w:szCs w:val="21"/>
              </w:rPr>
            </w:pPr>
            <w:r>
              <w:rPr>
                <w:rFonts w:eastAsia="仿宋"/>
                <w:szCs w:val="21"/>
              </w:rPr>
              <w:t>（47）实验室操作区层高不低于2米；</w:t>
            </w:r>
          </w:p>
          <w:p>
            <w:pPr>
              <w:widowControl/>
              <w:spacing w:line="300" w:lineRule="exact"/>
              <w:rPr>
                <w:rFonts w:eastAsia="仿宋"/>
                <w:bCs/>
                <w:kern w:val="0"/>
                <w:szCs w:val="21"/>
              </w:rPr>
            </w:pPr>
            <w:r>
              <w:rPr>
                <w:rFonts w:eastAsia="仿宋"/>
                <w:szCs w:val="21"/>
              </w:rPr>
              <w:t>（48）理工农医类实验室内多人同时进行实验时，人均操作面积不小于2.5平方米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（49）保持消防通道通畅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（50）实验操作台应选用合格的防火、耐腐蚀材料；</w:t>
            </w:r>
          </w:p>
          <w:p>
            <w:pPr>
              <w:widowControl/>
              <w:spacing w:line="300" w:lineRule="exact"/>
              <w:rPr>
                <w:rFonts w:eastAsia="仿宋"/>
                <w:szCs w:val="21"/>
              </w:rPr>
            </w:pPr>
            <w:r>
              <w:rPr>
                <w:rFonts w:eastAsia="仿宋"/>
                <w:szCs w:val="21"/>
              </w:rPr>
              <w:t>（51）仪器设备安装符合建筑物承重载荷；</w:t>
            </w:r>
          </w:p>
          <w:p>
            <w:pPr>
              <w:widowControl/>
              <w:spacing w:line="300" w:lineRule="exact"/>
              <w:rPr>
                <w:rFonts w:eastAsia="仿宋"/>
                <w:szCs w:val="21"/>
              </w:rPr>
            </w:pPr>
            <w:r>
              <w:rPr>
                <w:rFonts w:eastAsia="仿宋"/>
                <w:szCs w:val="21"/>
              </w:rPr>
              <w:t>（52）有可燃气体的实验室不设吊顶；</w:t>
            </w:r>
          </w:p>
          <w:p>
            <w:pPr>
              <w:widowControl/>
              <w:spacing w:line="300" w:lineRule="exact"/>
              <w:rPr>
                <w:rFonts w:eastAsia="仿宋"/>
                <w:szCs w:val="21"/>
              </w:rPr>
            </w:pPr>
            <w:r>
              <w:rPr>
                <w:rFonts w:eastAsia="仿宋"/>
                <w:szCs w:val="21"/>
              </w:rPr>
              <w:t>（53）不用的配电箱、插座、水管水龙头、网线、气体管路等，应及时拆除或封闭；</w:t>
            </w:r>
          </w:p>
          <w:p>
            <w:pPr>
              <w:widowControl/>
              <w:spacing w:line="300" w:lineRule="exact"/>
              <w:rPr>
                <w:rFonts w:eastAsia="仿宋"/>
                <w:bCs/>
                <w:kern w:val="0"/>
                <w:szCs w:val="21"/>
              </w:rPr>
            </w:pPr>
            <w:r>
              <w:rPr>
                <w:rFonts w:eastAsia="仿宋"/>
                <w:szCs w:val="21"/>
              </w:rPr>
              <w:t>（54）实验室门上有观察窗，外开门不阻挡逃生路径</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（55）应急备用钥匙需集中存放、统一管理，应急时方便取用</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实验设备需做好振动减震、电磁屏蔽和噪音降噪</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（56）容易产生振动的设备，需考虑建立合理的减震措施；</w:t>
            </w:r>
          </w:p>
          <w:p>
            <w:pPr>
              <w:widowControl/>
              <w:spacing w:line="300" w:lineRule="exact"/>
              <w:rPr>
                <w:rFonts w:eastAsia="仿宋"/>
                <w:szCs w:val="21"/>
              </w:rPr>
            </w:pPr>
            <w:r>
              <w:rPr>
                <w:rFonts w:eastAsia="仿宋"/>
                <w:szCs w:val="21"/>
              </w:rPr>
              <w:t>（57）易对外产生磁场或易受磁场干扰的设备，需做好磁屏蔽；</w:t>
            </w:r>
          </w:p>
          <w:p>
            <w:pPr>
              <w:widowControl/>
              <w:spacing w:line="300" w:lineRule="exact"/>
              <w:rPr>
                <w:rFonts w:eastAsia="仿宋"/>
                <w:bCs/>
                <w:kern w:val="0"/>
                <w:szCs w:val="21"/>
              </w:rPr>
            </w:pPr>
            <w:r>
              <w:rPr>
                <w:rFonts w:eastAsia="仿宋"/>
                <w:szCs w:val="21"/>
              </w:rPr>
              <w:t>（58）实验室噪声一般不高于55分贝（机械设备不高于70分贝）</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（59）采用管道供气的实验室，输气管道及阀门无漏气现象，并有明确标识</w:t>
            </w:r>
            <w:r>
              <w:rPr>
                <w:rFonts w:eastAsia="仿宋"/>
                <w:bCs/>
                <w:szCs w:val="21"/>
              </w:rPr>
              <w:t>。供气管道有名称和气体流向标识，无破损；</w:t>
            </w:r>
          </w:p>
          <w:p>
            <w:pPr>
              <w:spacing w:line="300" w:lineRule="exact"/>
              <w:rPr>
                <w:rFonts w:eastAsia="仿宋"/>
                <w:bCs/>
                <w:szCs w:val="21"/>
              </w:rPr>
            </w:pPr>
            <w:r>
              <w:rPr>
                <w:rFonts w:eastAsia="仿宋"/>
                <w:bCs/>
                <w:szCs w:val="21"/>
              </w:rPr>
              <w:t>（60）</w:t>
            </w:r>
            <w:r>
              <w:rPr>
                <w:rFonts w:eastAsia="仿宋"/>
                <w:szCs w:val="21"/>
              </w:rPr>
              <w:t>高温、明火设备放置位置与气体管道有安全间隔距离</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（61）有毒有害实验区与学习区明确分开，合理布局，重点关注化学、生物、辐射、激光等类别实验室。如部分区域分区不明显，现场查看有毒有害物质的管理须对工作环境无健康危害</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（62）实验室物品摆放有序，卫生状况良好，实验完毕物品归位，无废弃物品、不放无关物品；</w:t>
            </w:r>
          </w:p>
          <w:p>
            <w:pPr>
              <w:spacing w:line="300" w:lineRule="exact"/>
              <w:rPr>
                <w:rFonts w:eastAsia="仿宋"/>
                <w:bCs/>
                <w:szCs w:val="21"/>
              </w:rPr>
            </w:pPr>
            <w:r>
              <w:rPr>
                <w:rFonts w:eastAsia="仿宋"/>
                <w:szCs w:val="21"/>
              </w:rPr>
              <w:t>（63）</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（64）实验期间有记录</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场所其他安全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（65）现场查看门牌，查阅档案</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（66）配备的药箱不得上锁，并定期检查药品是否在保质期内</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（67）查看现场</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（68）烟感报警器、灭火器、灭火毯、消防砂、消防喷淋等，应正常有效、方便取用；</w:t>
            </w:r>
          </w:p>
          <w:p>
            <w:pPr>
              <w:widowControl/>
              <w:spacing w:line="300" w:lineRule="exact"/>
              <w:rPr>
                <w:rFonts w:eastAsia="仿宋"/>
                <w:bCs/>
                <w:kern w:val="0"/>
                <w:szCs w:val="21"/>
              </w:rPr>
            </w:pPr>
            <w:r>
              <w:rPr>
                <w:rFonts w:eastAsia="仿宋"/>
                <w:kern w:val="0"/>
                <w:szCs w:val="21"/>
              </w:rPr>
              <w:t>（69）灭火器种类配置正确，且在有效期内（压力指针位置正常等），安全销（拉针）正常，瓶身无破损、腐蚀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kern w:val="0"/>
                <w:szCs w:val="21"/>
              </w:rPr>
            </w:pPr>
            <w:r>
              <w:rPr>
                <w:rFonts w:eastAsia="仿宋"/>
                <w:kern w:val="0"/>
                <w:szCs w:val="21"/>
              </w:rPr>
              <w:t>（70）在显著位置张贴有紧急逃生疏散路线图，疏散路线图的逃生路线应有二条（含）以上，路线与现场情况符合；</w:t>
            </w:r>
          </w:p>
          <w:p>
            <w:pPr>
              <w:rPr>
                <w:rFonts w:eastAsia="仿宋"/>
                <w:kern w:val="0"/>
              </w:rPr>
            </w:pPr>
            <w:r>
              <w:rPr>
                <w:rFonts w:eastAsia="仿宋"/>
                <w:kern w:val="0"/>
                <w:szCs w:val="21"/>
              </w:rPr>
              <w:t>（71）主要逃生路径（室内、楼梯、通道和出口处）有足够的紧急照明灯，功能正常</w:t>
            </w:r>
            <w:r>
              <w:rPr>
                <w:rFonts w:eastAsia="仿宋"/>
                <w:kern w:val="0"/>
              </w:rPr>
              <w:t>，并设置有效标识指示逃生方向；</w:t>
            </w:r>
          </w:p>
          <w:p>
            <w:pPr>
              <w:rPr>
                <w:rFonts w:eastAsia="仿宋"/>
                <w:bCs/>
                <w:kern w:val="0"/>
                <w:szCs w:val="21"/>
              </w:rPr>
            </w:pPr>
            <w:r>
              <w:rPr>
                <w:rFonts w:eastAsia="仿宋"/>
                <w:kern w:val="0"/>
              </w:rPr>
              <w:t>（72）</w:t>
            </w:r>
            <w:r>
              <w:rPr>
                <w:rFonts w:eastAsia="仿宋"/>
                <w:kern w:val="0"/>
                <w:szCs w:val="21"/>
              </w:rPr>
              <w:t>人员应熟悉紧急疏散路线及火场逃生注意事项（现场调查人员熟悉程度）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（73）应急喷淋和洗眼装置的区域有显著标识</w:t>
            </w:r>
          </w:p>
        </w:tc>
        <w:tc>
          <w:tcPr>
            <w:tcW w:w="2543"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（74）应急喷淋安装地点与工作区域之间畅通，距离不超过30米。应急喷淋安装位置合适，拉杆位置合适、方向正确。应急喷淋装置水管总阀为常开状，喷淋头下方无障碍物；</w:t>
            </w:r>
          </w:p>
          <w:p>
            <w:pPr>
              <w:widowControl/>
              <w:spacing w:line="300" w:lineRule="exact"/>
              <w:rPr>
                <w:rFonts w:eastAsia="仿宋"/>
                <w:kern w:val="0"/>
                <w:szCs w:val="21"/>
              </w:rPr>
            </w:pPr>
            <w:r>
              <w:rPr>
                <w:rFonts w:eastAsia="仿宋"/>
                <w:kern w:val="0"/>
                <w:szCs w:val="21"/>
              </w:rPr>
              <w:t>（75）不能以普通淋浴装置代替应急喷淋装置；</w:t>
            </w:r>
          </w:p>
          <w:p>
            <w:pPr>
              <w:widowControl/>
              <w:spacing w:line="300" w:lineRule="exact"/>
              <w:rPr>
                <w:rFonts w:eastAsia="仿宋"/>
                <w:bCs/>
                <w:kern w:val="0"/>
                <w:szCs w:val="21"/>
              </w:rPr>
            </w:pPr>
            <w:r>
              <w:rPr>
                <w:rFonts w:eastAsia="仿宋"/>
                <w:kern w:val="0"/>
                <w:szCs w:val="21"/>
              </w:rPr>
              <w:t>（76）洗眼装置接入生活用水管道，水量水压适中（喷出高度8~10厘米），</w:t>
            </w:r>
            <w:r>
              <w:rPr>
                <w:rFonts w:eastAsia="仿宋"/>
                <w:bCs/>
                <w:kern w:val="0"/>
                <w:szCs w:val="21"/>
              </w:rPr>
              <w:t>水流畅通平稳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（77）经常擦拭洗眼喷头，</w:t>
            </w:r>
            <w:r>
              <w:rPr>
                <w:rFonts w:eastAsia="仿宋"/>
                <w:bCs/>
                <w:kern w:val="0"/>
                <w:szCs w:val="21"/>
              </w:rPr>
              <w:t>无锈水脏水，</w:t>
            </w:r>
            <w:r>
              <w:rPr>
                <w:rFonts w:eastAsia="仿宋"/>
                <w:kern w:val="0"/>
                <w:szCs w:val="21"/>
              </w:rPr>
              <w:t>有检查记录（每月启动一次阀门，时刻保证管内流水畅通）</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（78）管道风机需防腐，使用可燃气体场所宜采用防爆风机</w:t>
            </w:r>
            <w:r>
              <w:rPr>
                <w:rFonts w:eastAsia="仿宋"/>
                <w:bCs/>
                <w:kern w:val="0"/>
                <w:szCs w:val="21"/>
              </w:rPr>
              <w:t>；</w:t>
            </w:r>
          </w:p>
          <w:p>
            <w:pPr>
              <w:widowControl/>
              <w:spacing w:line="300" w:lineRule="exact"/>
              <w:rPr>
                <w:rFonts w:eastAsia="仿宋"/>
                <w:kern w:val="0"/>
                <w:szCs w:val="21"/>
              </w:rPr>
            </w:pPr>
            <w:r>
              <w:rPr>
                <w:rFonts w:eastAsia="仿宋"/>
                <w:bCs/>
                <w:kern w:val="0"/>
                <w:szCs w:val="21"/>
              </w:rPr>
              <w:t>（79）</w:t>
            </w:r>
            <w:r>
              <w:rPr>
                <w:rFonts w:eastAsia="仿宋"/>
                <w:kern w:val="0"/>
                <w:szCs w:val="21"/>
              </w:rPr>
              <w:t>实验室通风系统运行正常，</w:t>
            </w:r>
            <w:r>
              <w:rPr>
                <w:rFonts w:eastAsia="仿宋"/>
                <w:szCs w:val="21"/>
              </w:rPr>
              <w:t>柜口面</w:t>
            </w:r>
            <w:r>
              <w:rPr>
                <w:rFonts w:eastAsia="仿宋"/>
                <w:kern w:val="0"/>
                <w:szCs w:val="21"/>
              </w:rPr>
              <w:t>风速0.35~0.75米/秒，定期进行维护、检修；</w:t>
            </w:r>
          </w:p>
          <w:p>
            <w:pPr>
              <w:widowControl/>
              <w:spacing w:line="300" w:lineRule="exact"/>
              <w:rPr>
                <w:rFonts w:eastAsia="仿宋"/>
                <w:bCs/>
                <w:kern w:val="0"/>
                <w:szCs w:val="21"/>
              </w:rPr>
            </w:pPr>
            <w:r>
              <w:rPr>
                <w:rFonts w:eastAsia="仿宋"/>
                <w:kern w:val="0"/>
                <w:szCs w:val="21"/>
              </w:rPr>
              <w:t>（80）屋顶风机固定无松动、无异常噪声</w:t>
            </w:r>
          </w:p>
        </w:tc>
        <w:tc>
          <w:tcPr>
            <w:tcW w:w="2543" w:type="dxa"/>
            <w:tcMar>
              <w:left w:w="45" w:type="dxa"/>
              <w:right w:w="45" w:type="dxa"/>
            </w:tcMar>
            <w:vAlign w:val="center"/>
          </w:tcPr>
          <w:p>
            <w:pPr>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（81）实验室排出的有害物质浓度超过国家现行标准规定的允许排放标准时，应采取净化措施，做到达标排放；</w:t>
            </w:r>
          </w:p>
          <w:p>
            <w:pPr>
              <w:widowControl/>
              <w:spacing w:line="300" w:lineRule="exact"/>
              <w:rPr>
                <w:rFonts w:eastAsia="仿宋"/>
                <w:kern w:val="0"/>
                <w:szCs w:val="21"/>
              </w:rPr>
            </w:pPr>
            <w:r>
              <w:rPr>
                <w:rFonts w:eastAsia="仿宋"/>
                <w:kern w:val="0"/>
                <w:szCs w:val="21"/>
              </w:rPr>
              <w:t>（82）任何可能产生高浓度有害气体而导致个人曝露、或产生可燃、可爆炸气体或蒸汽而导致积聚的实验，都应在通风柜内进行；</w:t>
            </w:r>
          </w:p>
          <w:p>
            <w:pPr>
              <w:widowControl/>
              <w:spacing w:line="300" w:lineRule="exact"/>
              <w:rPr>
                <w:rFonts w:eastAsia="仿宋"/>
                <w:kern w:val="0"/>
                <w:szCs w:val="21"/>
              </w:rPr>
            </w:pPr>
            <w:r>
              <w:rPr>
                <w:rFonts w:eastAsia="仿宋"/>
                <w:kern w:val="0"/>
                <w:szCs w:val="21"/>
              </w:rPr>
              <w:t>（83）进行实验时，通风柜可调玻璃视窗开至离台面10—15厘米，保持通风效果，并保护操作人员胸部以上部位；</w:t>
            </w:r>
          </w:p>
          <w:p>
            <w:pPr>
              <w:widowControl/>
              <w:spacing w:line="300" w:lineRule="exact"/>
              <w:rPr>
                <w:rFonts w:eastAsia="仿宋"/>
                <w:kern w:val="0"/>
                <w:szCs w:val="21"/>
              </w:rPr>
            </w:pPr>
            <w:r>
              <w:rPr>
                <w:rFonts w:eastAsia="仿宋"/>
                <w:bCs/>
                <w:kern w:val="0"/>
                <w:szCs w:val="21"/>
              </w:rPr>
              <w:t>（84）</w:t>
            </w:r>
            <w:r>
              <w:rPr>
                <w:rFonts w:eastAsia="仿宋"/>
                <w:kern w:val="0"/>
                <w:szCs w:val="21"/>
              </w:rPr>
              <w:t>实验人员在通风柜进行实验时，避免将头伸入调节门内。不可将一次性手套或较轻的塑料袋等留在通风柜内，以免堵塞排风口；</w:t>
            </w:r>
          </w:p>
          <w:p>
            <w:pPr>
              <w:widowControl/>
              <w:spacing w:line="300" w:lineRule="exact"/>
              <w:rPr>
                <w:rFonts w:eastAsia="仿宋"/>
                <w:kern w:val="0"/>
                <w:szCs w:val="21"/>
              </w:rPr>
            </w:pPr>
            <w:r>
              <w:rPr>
                <w:rFonts w:eastAsia="仿宋"/>
                <w:kern w:val="0"/>
                <w:szCs w:val="21"/>
              </w:rPr>
              <w:t>（85）通风柜内放置物品应距离调节门内侧15厘米以上，以免掉落；</w:t>
            </w:r>
          </w:p>
          <w:p>
            <w:pPr>
              <w:widowControl/>
              <w:spacing w:line="300" w:lineRule="exact"/>
              <w:rPr>
                <w:rFonts w:eastAsia="仿宋"/>
                <w:bCs/>
                <w:kern w:val="0"/>
                <w:szCs w:val="21"/>
              </w:rPr>
            </w:pPr>
            <w:r>
              <w:rPr>
                <w:rFonts w:eastAsia="仿宋"/>
                <w:kern w:val="0"/>
                <w:szCs w:val="21"/>
              </w:rPr>
              <w:t>（86）</w:t>
            </w:r>
            <w:r>
              <w:rPr>
                <w:rFonts w:eastAsia="仿宋"/>
                <w:bCs/>
                <w:kern w:val="0"/>
                <w:szCs w:val="21"/>
              </w:rPr>
              <w:t>玻璃视窗材料应是钢化玻璃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（87）关注重点场所，如剧毒品、病原微生物、放射源存放点、核材料等危险源的管理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（88）监控不留死角，图像清晰，人员出入记录可查，视频记录存储时间不少于30天；</w:t>
            </w:r>
          </w:p>
          <w:p>
            <w:pPr>
              <w:widowControl/>
              <w:spacing w:line="300" w:lineRule="exact"/>
              <w:rPr>
                <w:rFonts w:eastAsia="仿宋"/>
                <w:bCs/>
                <w:kern w:val="0"/>
                <w:szCs w:val="21"/>
              </w:rPr>
            </w:pPr>
            <w:r>
              <w:rPr>
                <w:rFonts w:eastAsia="仿宋"/>
                <w:szCs w:val="21"/>
              </w:rPr>
              <w:t>（89）停电时，电子门禁系统应是开启状态或者有备用机械钥匙</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（90）安装有防爆开关、防爆灯等，安装必要的气体报警系统、监控系统、应急系统等；</w:t>
            </w:r>
          </w:p>
          <w:p>
            <w:pPr>
              <w:widowControl/>
              <w:spacing w:line="300" w:lineRule="exact"/>
              <w:rPr>
                <w:rFonts w:eastAsia="仿宋"/>
                <w:szCs w:val="21"/>
              </w:rPr>
            </w:pPr>
            <w:r>
              <w:rPr>
                <w:rFonts w:eastAsia="仿宋"/>
                <w:szCs w:val="21"/>
              </w:rPr>
              <w:t>（91）对于产生可燃气体或蒸汽的装置，应在其进、出口处安装阻火器；</w:t>
            </w:r>
          </w:p>
          <w:p>
            <w:pPr>
              <w:widowControl/>
              <w:spacing w:line="300" w:lineRule="exact"/>
              <w:rPr>
                <w:rFonts w:eastAsia="仿宋"/>
                <w:bCs/>
                <w:kern w:val="0"/>
                <w:szCs w:val="21"/>
              </w:rPr>
            </w:pPr>
            <w:r>
              <w:rPr>
                <w:rFonts w:eastAsia="仿宋"/>
                <w:szCs w:val="21"/>
              </w:rPr>
              <w:t>（92）室内应加强通风，防止爆炸物聚积</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（93）使用合适的安全罩防护</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eastAsia="仿宋"/>
                <w:kern w:val="0"/>
                <w:szCs w:val="21"/>
              </w:rPr>
              <w:t>（94）实验室电容量、插头插座与用电设备功率需匹配，不得私自改装；</w:t>
            </w:r>
          </w:p>
          <w:p>
            <w:pPr>
              <w:rPr>
                <w:rFonts w:eastAsia="仿宋"/>
                <w:kern w:val="0"/>
                <w:szCs w:val="21"/>
              </w:rPr>
            </w:pPr>
            <w:r>
              <w:rPr>
                <w:rFonts w:eastAsia="仿宋"/>
                <w:kern w:val="0"/>
                <w:szCs w:val="21"/>
              </w:rPr>
              <w:t>（95）电源插座须有效固定；</w:t>
            </w:r>
          </w:p>
          <w:p>
            <w:pPr>
              <w:rPr>
                <w:rFonts w:eastAsia="仿宋"/>
                <w:kern w:val="0"/>
                <w:szCs w:val="21"/>
              </w:rPr>
            </w:pPr>
            <w:r>
              <w:rPr>
                <w:rFonts w:eastAsia="仿宋"/>
                <w:kern w:val="0"/>
                <w:szCs w:val="21"/>
              </w:rPr>
              <w:t>（96）电气设备应配备空气开关和漏电保护器；</w:t>
            </w:r>
          </w:p>
          <w:p>
            <w:pPr>
              <w:rPr>
                <w:rFonts w:eastAsia="仿宋"/>
                <w:kern w:val="0"/>
              </w:rPr>
            </w:pPr>
            <w:r>
              <w:rPr>
                <w:rFonts w:eastAsia="仿宋"/>
                <w:kern w:val="0"/>
                <w:szCs w:val="21"/>
              </w:rPr>
              <w:t>（97）不私自乱拉乱接电线电缆，禁止多个接线板串接供电，接线板不宜直接置于地面</w:t>
            </w:r>
            <w:r>
              <w:rPr>
                <w:rFonts w:eastAsia="仿宋"/>
                <w:kern w:val="0"/>
              </w:rPr>
              <w:t>；</w:t>
            </w:r>
          </w:p>
          <w:p>
            <w:pPr>
              <w:rPr>
                <w:rFonts w:eastAsia="仿宋"/>
                <w:kern w:val="0"/>
              </w:rPr>
            </w:pPr>
            <w:r>
              <w:rPr>
                <w:rFonts w:eastAsia="仿宋"/>
                <w:kern w:val="0"/>
              </w:rPr>
              <w:t>（98）禁止使用老化的线缆、花线、木质配电板、有破损的接线板，电线接头绝缘可靠，无裸露连接线，穿越通道的线缆应有盖板或护套，不使用老国标接线板；</w:t>
            </w:r>
          </w:p>
          <w:p>
            <w:pPr>
              <w:rPr>
                <w:rFonts w:eastAsia="仿宋"/>
                <w:kern w:val="0"/>
                <w:szCs w:val="21"/>
              </w:rPr>
            </w:pPr>
            <w:r>
              <w:rPr>
                <w:rFonts w:eastAsia="仿宋"/>
                <w:kern w:val="0"/>
                <w:szCs w:val="21"/>
              </w:rPr>
              <w:t>（99）大功率仪器（包括空调等）使用专用插座（不可使用接线板）；</w:t>
            </w:r>
          </w:p>
          <w:p>
            <w:pPr>
              <w:rPr>
                <w:rFonts w:eastAsia="仿宋"/>
                <w:kern w:val="0"/>
                <w:szCs w:val="21"/>
              </w:rPr>
            </w:pPr>
            <w:r>
              <w:rPr>
                <w:rFonts w:eastAsia="仿宋"/>
                <w:kern w:val="0"/>
                <w:szCs w:val="21"/>
              </w:rPr>
              <w:t>（100）电器长期不用时，应切断电源；</w:t>
            </w:r>
          </w:p>
          <w:p>
            <w:pPr>
              <w:rPr>
                <w:rFonts w:eastAsia="仿宋"/>
                <w:bCs/>
                <w:kern w:val="0"/>
                <w:szCs w:val="21"/>
              </w:rPr>
            </w:pPr>
            <w:r>
              <w:rPr>
                <w:rFonts w:eastAsia="仿宋"/>
                <w:kern w:val="0"/>
                <w:szCs w:val="21"/>
              </w:rPr>
              <w:t>（101）配电箱前不应有物品遮挡并便于操作，周围不应放置烘箱、电炉、易燃易爆气瓶、废液桶等；配电箱的金属箱体应与箱内保护零线或保护地线可靠连接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（102）水槽、地漏及下水道畅通，水龙头、上下水管无破损；</w:t>
            </w:r>
          </w:p>
          <w:p>
            <w:pPr>
              <w:widowControl/>
              <w:spacing w:line="300" w:lineRule="exact"/>
              <w:rPr>
                <w:rFonts w:eastAsia="仿宋"/>
                <w:kern w:val="0"/>
                <w:szCs w:val="21"/>
              </w:rPr>
            </w:pPr>
            <w:r>
              <w:rPr>
                <w:rFonts w:eastAsia="仿宋"/>
                <w:kern w:val="0"/>
                <w:szCs w:val="21"/>
              </w:rPr>
              <w:t>（103）各类连接管无老化破损（特别是冷却冷凝系统的橡胶管接口处）；</w:t>
            </w:r>
          </w:p>
          <w:p>
            <w:pPr>
              <w:widowControl/>
              <w:spacing w:line="300" w:lineRule="exact"/>
              <w:rPr>
                <w:rFonts w:eastAsia="仿宋"/>
                <w:bCs/>
                <w:kern w:val="0"/>
                <w:szCs w:val="21"/>
              </w:rPr>
            </w:pPr>
            <w:r>
              <w:rPr>
                <w:rFonts w:eastAsia="仿宋"/>
                <w:kern w:val="0"/>
                <w:szCs w:val="21"/>
              </w:rPr>
              <w:t>（104）各楼层及实验室的各级水管总阀需有明显的标识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个人防护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（105）进入实验室人员需穿着质地合适的实验服或防护服；</w:t>
            </w:r>
          </w:p>
          <w:p>
            <w:pPr>
              <w:widowControl/>
              <w:spacing w:line="300" w:lineRule="exact"/>
              <w:rPr>
                <w:rFonts w:eastAsia="仿宋"/>
                <w:kern w:val="0"/>
                <w:szCs w:val="21"/>
              </w:rPr>
            </w:pPr>
            <w:r>
              <w:rPr>
                <w:rFonts w:eastAsia="仿宋"/>
                <w:kern w:val="0"/>
                <w:szCs w:val="21"/>
              </w:rPr>
              <w:t>（106）按需要佩戴防护眼镜、防护手套、安全帽、防护帽、呼吸器或面罩（呼吸器或面罩在有效期内，不用时须密封放置）等；</w:t>
            </w:r>
          </w:p>
          <w:p>
            <w:pPr>
              <w:widowControl/>
              <w:spacing w:line="300" w:lineRule="exact"/>
              <w:rPr>
                <w:rFonts w:eastAsia="仿宋"/>
                <w:kern w:val="0"/>
                <w:szCs w:val="21"/>
              </w:rPr>
            </w:pPr>
            <w:r>
              <w:rPr>
                <w:rFonts w:eastAsia="仿宋"/>
                <w:kern w:val="0"/>
                <w:szCs w:val="21"/>
              </w:rPr>
              <w:t>（107）进行化学、生物安全和高温实验时，不得佩戴隐形眼镜；</w:t>
            </w:r>
          </w:p>
          <w:p>
            <w:pPr>
              <w:widowControl/>
              <w:spacing w:line="300" w:lineRule="exact"/>
              <w:rPr>
                <w:rFonts w:eastAsia="仿宋"/>
                <w:kern w:val="0"/>
                <w:szCs w:val="21"/>
              </w:rPr>
            </w:pPr>
            <w:r>
              <w:rPr>
                <w:rFonts w:eastAsia="仿宋"/>
                <w:kern w:val="0"/>
                <w:szCs w:val="21"/>
              </w:rPr>
              <w:t>（108）操作机床等旋转设备时，不得穿戴长围巾、丝巾、领带等，长发需盘在工作帽内；</w:t>
            </w:r>
          </w:p>
          <w:p>
            <w:pPr>
              <w:widowControl/>
              <w:spacing w:line="300" w:lineRule="exact"/>
              <w:rPr>
                <w:rFonts w:eastAsia="仿宋"/>
                <w:bCs/>
                <w:kern w:val="0"/>
                <w:szCs w:val="21"/>
              </w:rPr>
            </w:pPr>
            <w:r>
              <w:rPr>
                <w:rFonts w:eastAsia="仿宋"/>
                <w:kern w:val="0"/>
                <w:szCs w:val="21"/>
              </w:rPr>
              <w:t>（109）穿着化学、生物类实验服或戴实验手套，不得随意进入非实验区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（110）在紧急情况需使用的防化服等个人防护器具应分散存放在安全场所，以便于取用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（111）检查培训及维护记录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7.3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（112）实验时不能脱岗，通宵实验须两人在场并有事先审批制度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（113）查看实验台面和实验记录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pPr>
              <w:spacing w:line="300" w:lineRule="exact"/>
              <w:rPr>
                <w:rFonts w:eastAsia="仿宋"/>
                <w:kern w:val="0"/>
                <w:szCs w:val="21"/>
              </w:rPr>
            </w:pPr>
            <w:r>
              <w:rPr>
                <w:rFonts w:eastAsia="仿宋"/>
                <w:kern w:val="0"/>
                <w:szCs w:val="21"/>
              </w:rPr>
              <w:t>（114）危险化学品须向具有生产经营许可资质的单位进行购买，查看相关供应商的经营许可资质证书复印件</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剧毒品、易制毒品、易制爆品、爆炸品的购买程序合规</w:t>
            </w:r>
          </w:p>
        </w:tc>
        <w:tc>
          <w:tcPr>
            <w:tcW w:w="7660" w:type="dxa"/>
            <w:tcMar>
              <w:left w:w="45" w:type="dxa"/>
              <w:right w:w="45" w:type="dxa"/>
            </w:tcMar>
            <w:vAlign w:val="center"/>
          </w:tcPr>
          <w:p>
            <w:pPr>
              <w:spacing w:line="300" w:lineRule="exact"/>
              <w:rPr>
                <w:rFonts w:eastAsia="仿宋"/>
                <w:kern w:val="0"/>
                <w:szCs w:val="21"/>
              </w:rPr>
            </w:pPr>
            <w:r>
              <w:rPr>
                <w:rFonts w:eastAsia="仿宋"/>
                <w:kern w:val="0"/>
                <w:szCs w:val="21"/>
              </w:rPr>
              <w:t>（115）购买前须经学校审批，报公安部门批准或备案后，向具有经营许可资质的单位购买，并保留报批及审批记录；</w:t>
            </w:r>
          </w:p>
          <w:p>
            <w:pPr>
              <w:spacing w:line="300" w:lineRule="exact"/>
              <w:rPr>
                <w:rFonts w:eastAsia="仿宋"/>
                <w:kern w:val="0"/>
                <w:szCs w:val="21"/>
              </w:rPr>
            </w:pPr>
            <w:r>
              <w:rPr>
                <w:rFonts w:eastAsia="仿宋"/>
                <w:kern w:val="0"/>
                <w:szCs w:val="21"/>
              </w:rPr>
              <w:t>（116）建立购买、验收、使用等台账资料；</w:t>
            </w:r>
          </w:p>
          <w:p>
            <w:pPr>
              <w:spacing w:line="300" w:lineRule="exact"/>
              <w:rPr>
                <w:rFonts w:eastAsia="仿宋"/>
                <w:b/>
                <w:bCs/>
                <w:kern w:val="0"/>
                <w:szCs w:val="21"/>
              </w:rPr>
            </w:pPr>
            <w:r>
              <w:rPr>
                <w:rFonts w:eastAsia="仿宋"/>
                <w:kern w:val="0"/>
                <w:szCs w:val="21"/>
              </w:rPr>
              <w:t>（117）不得私自从外单位获取管制化学品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rPr>
            </w:pPr>
            <w:r>
              <w:rPr>
                <w:rFonts w:eastAsia="仿宋"/>
                <w:kern w:val="0"/>
                <w:szCs w:val="21"/>
              </w:rPr>
              <w:t>（118）报批同意后向定点供应商或者定点生产企业采购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（119）现场抽查，校园内的运输车辆、运送人员、送货方式等符合相关规范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（120）建立实验室危险化学品动态台账，并有危险化学品安全技术说明书（MSDS）或安全周知卡，方便查阅；</w:t>
            </w:r>
          </w:p>
          <w:p>
            <w:pPr>
              <w:widowControl/>
              <w:spacing w:line="300" w:lineRule="exact"/>
              <w:rPr>
                <w:rFonts w:eastAsia="仿宋"/>
                <w:bCs/>
                <w:kern w:val="0"/>
                <w:szCs w:val="21"/>
              </w:rPr>
            </w:pPr>
            <w:r>
              <w:rPr>
                <w:rFonts w:eastAsia="仿宋"/>
                <w:kern w:val="0"/>
                <w:szCs w:val="21"/>
              </w:rPr>
              <w:t>（121）定期清理废旧试剂，无累积现象</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eastAsia="仿宋"/>
              </w:rPr>
              <w:t>（122）储藏室、储藏区、储存柜等</w:t>
            </w:r>
            <w:r>
              <w:rPr>
                <w:rFonts w:eastAsia="仿宋"/>
                <w:bCs/>
                <w:kern w:val="0"/>
              </w:rPr>
              <w:t>应</w:t>
            </w:r>
            <w:r>
              <w:rPr>
                <w:rFonts w:eastAsia="仿宋"/>
                <w:kern w:val="0"/>
              </w:rPr>
              <w:t>通风、隔热、避光、安全；</w:t>
            </w:r>
          </w:p>
          <w:p>
            <w:pPr>
              <w:widowControl/>
              <w:rPr>
                <w:rFonts w:eastAsia="仿宋"/>
                <w:kern w:val="0"/>
              </w:rPr>
            </w:pPr>
            <w:r>
              <w:rPr>
                <w:rFonts w:eastAsia="仿宋"/>
                <w:kern w:val="0"/>
              </w:rPr>
              <w:t>（123）易泄漏、易挥发的试剂存放设备与地点应保证充足的通风；</w:t>
            </w:r>
          </w:p>
          <w:p>
            <w:pPr>
              <w:widowControl/>
              <w:rPr>
                <w:rFonts w:eastAsia="仿宋"/>
                <w:kern w:val="0"/>
              </w:rPr>
            </w:pPr>
            <w:r>
              <w:rPr>
                <w:rFonts w:eastAsia="仿宋"/>
                <w:kern w:val="0"/>
              </w:rPr>
              <w:t>（124）试剂柜中不能有电源插座或接线板；</w:t>
            </w:r>
          </w:p>
          <w:p>
            <w:pPr>
              <w:widowControl/>
              <w:rPr>
                <w:rFonts w:eastAsia="仿宋"/>
                <w:kern w:val="0"/>
              </w:rPr>
            </w:pPr>
            <w:r>
              <w:rPr>
                <w:rFonts w:eastAsia="仿宋"/>
                <w:kern w:val="0"/>
              </w:rPr>
              <w:t>（125）化学品有序分类存放，固体液体不混乱放置，互为禁忌的化学品不得混放，试剂不得叠放。有机溶剂储存区应远离热源和火源。装有试剂的试剂瓶不得开口放置。实验台架无挡板不得存放化学试剂；</w:t>
            </w:r>
          </w:p>
          <w:p>
            <w:pPr>
              <w:widowControl/>
              <w:rPr>
                <w:rFonts w:eastAsia="仿宋"/>
                <w:kern w:val="0"/>
              </w:rPr>
            </w:pPr>
            <w:r>
              <w:rPr>
                <w:rFonts w:eastAsia="仿宋"/>
                <w:kern w:val="0"/>
              </w:rPr>
              <w:t>（126）配备必要的二次泄漏防护、吸附或防溢流功能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eastAsia="仿宋"/>
                <w:kern w:val="0"/>
                <w:szCs w:val="21"/>
              </w:rPr>
              <w:t>（127）危险化学品（不含压缩气体和液化气体）原则上不应超过100公升或100千克，其中易燃易爆性化学品的存放总量不应超过50公升或50千克，且单一包装容器不应大于20公升或20千克</w:t>
            </w:r>
            <w:r>
              <w:rPr>
                <w:rFonts w:eastAsia="仿宋"/>
                <w:kern w:val="0"/>
              </w:rPr>
              <w:t>（</w:t>
            </w:r>
            <w:r>
              <w:rPr>
                <w:rFonts w:eastAsia="仿宋"/>
                <w:bCs/>
                <w:kern w:val="0"/>
              </w:rPr>
              <w:t>按</w:t>
            </w:r>
            <w:r>
              <w:rPr>
                <w:rFonts w:eastAsia="仿宋"/>
                <w:kern w:val="0"/>
              </w:rPr>
              <w:t>50平方米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面积比考量）；</w:t>
            </w:r>
          </w:p>
          <w:p>
            <w:pPr>
              <w:rPr>
                <w:rFonts w:eastAsia="仿宋"/>
                <w:bCs/>
                <w:kern w:val="0"/>
                <w:szCs w:val="21"/>
              </w:rPr>
            </w:pPr>
            <w:r>
              <w:rPr>
                <w:rFonts w:eastAsia="仿宋"/>
                <w:kern w:val="0"/>
              </w:rPr>
              <w:t>（128）</w:t>
            </w:r>
            <w:r>
              <w:rPr>
                <w:rFonts w:eastAsia="仿宋"/>
                <w:kern w:val="0"/>
                <w:szCs w:val="21"/>
              </w:rPr>
              <w:t>单个实验装置存在10公升以上甲类物质储罐，或20公升以上乙类物质储罐，或50公升以上丙类物质储罐时，需加装泄露报警器及通风联动装置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（129）化学品包装物上应有符合规定的化学品标签；</w:t>
            </w:r>
          </w:p>
          <w:p>
            <w:pPr>
              <w:widowControl/>
              <w:spacing w:line="300" w:lineRule="exact"/>
              <w:rPr>
                <w:rFonts w:eastAsia="仿宋"/>
                <w:bCs/>
                <w:kern w:val="0"/>
                <w:szCs w:val="21"/>
              </w:rPr>
            </w:pPr>
            <w:r>
              <w:rPr>
                <w:rFonts w:eastAsia="仿宋"/>
                <w:kern w:val="0"/>
                <w:szCs w:val="21"/>
              </w:rPr>
              <w:t>（130）当化学品由原包装物转移或分装到其他包装物内时，转移或分装后的包装物应及时重新粘贴标识。化学品标签脱落、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（131）指导书和预案上墙或便于取阅，实验人员熟悉所涉及的危险性及应急处理措施，按照指导书进行实验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（132）涉及危险化工工艺、重点监管危险化学品的反应装置应设置自动化控制系统；</w:t>
            </w:r>
          </w:p>
          <w:p>
            <w:pPr>
              <w:widowControl/>
              <w:spacing w:line="300" w:lineRule="exact"/>
              <w:rPr>
                <w:rFonts w:eastAsia="仿宋"/>
                <w:bCs/>
                <w:kern w:val="0"/>
                <w:szCs w:val="21"/>
              </w:rPr>
            </w:pPr>
            <w:r>
              <w:rPr>
                <w:rFonts w:eastAsia="仿宋"/>
                <w:kern w:val="0"/>
                <w:szCs w:val="21"/>
              </w:rPr>
              <w:t>（133）涉及放热反应的危险化工工艺生产装置应设置双重电源供电或控制系统应配置不间断电源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（134）对于产生有毒有害废气的实验，须在通风柜中进行，并在实验装置尾端配有气体吸收装置，配备合适有效的呼吸器</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剧毒化学品执行“五双”管理</w:t>
            </w:r>
            <w:r>
              <w:rPr>
                <w:rFonts w:eastAsia="仿宋"/>
                <w:bCs/>
                <w:kern w:val="0"/>
                <w:szCs w:val="21"/>
              </w:rPr>
              <w:t>（即双人验收、双人保管、双人发货、双把锁、双本账）</w:t>
            </w:r>
            <w:r>
              <w:rPr>
                <w:rFonts w:eastAsia="仿宋"/>
                <w:kern w:val="0"/>
                <w:szCs w:val="21"/>
              </w:rPr>
              <w:t>，技防措施符合管制要求</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（135）单独存放、不得与易燃、易爆、腐蚀性物品等一起存放；</w:t>
            </w:r>
          </w:p>
          <w:p>
            <w:pPr>
              <w:widowControl/>
              <w:spacing w:line="300" w:lineRule="exact"/>
              <w:rPr>
                <w:rFonts w:eastAsia="仿宋"/>
                <w:kern w:val="0"/>
                <w:szCs w:val="21"/>
              </w:rPr>
            </w:pPr>
            <w:r>
              <w:rPr>
                <w:rFonts w:eastAsia="仿宋"/>
                <w:kern w:val="0"/>
                <w:szCs w:val="21"/>
              </w:rPr>
              <w:t>（136）有专人管理并做好贮存、领取、发放情况登记，登记资料至少保存1年；</w:t>
            </w:r>
          </w:p>
          <w:p>
            <w:pPr>
              <w:widowControl/>
              <w:spacing w:line="300" w:lineRule="exact"/>
              <w:rPr>
                <w:rFonts w:eastAsia="仿宋"/>
                <w:bCs/>
                <w:kern w:val="0"/>
                <w:szCs w:val="21"/>
              </w:rPr>
            </w:pPr>
            <w:r>
              <w:rPr>
                <w:rFonts w:eastAsia="仿宋"/>
                <w:kern w:val="0"/>
                <w:szCs w:val="21"/>
              </w:rPr>
              <w:t>（137）防盗安全门应符合GB17565的要求，防盗安全级别为乙级（含）以上，防盗锁应符合GA/T73的要求，防盗保险柜应符合《防盗保险柜》GB10409-2001的要求，监控管控执行公安要求</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麻醉药品和第一类精神药品管理符合“双人双锁”，有专用账册</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（138）设立专库或者专柜储存，专库应当设有防盗设施并安装报警装置，专柜应当使用保险柜，专库和专柜应当实行双人双锁管理；</w:t>
            </w:r>
          </w:p>
          <w:p>
            <w:pPr>
              <w:widowControl/>
              <w:spacing w:line="300" w:lineRule="exact"/>
              <w:rPr>
                <w:rFonts w:eastAsia="仿宋"/>
                <w:bCs/>
                <w:kern w:val="0"/>
                <w:szCs w:val="21"/>
              </w:rPr>
            </w:pPr>
            <w:r>
              <w:rPr>
                <w:rFonts w:eastAsia="仿宋"/>
                <w:kern w:val="0"/>
                <w:szCs w:val="21"/>
              </w:rPr>
              <w:t>（139）配备专人管理并建立专用账册，专用账册的保存期限应当自药品有效期期满之日起不少于5年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（140）存放场所出入口应设置防盗安全门，或存放在专用储存柜内，储存场所防盗安全级别应为乙级（含）以上，专用储存柜应具有防盗功能，符合双人双锁管理要求，台账账册保存期限不少于1年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（141）设置专库或者专柜储存，专库应当设有防盗设施；</w:t>
            </w:r>
          </w:p>
          <w:p>
            <w:pPr>
              <w:widowControl/>
              <w:spacing w:line="300" w:lineRule="exact"/>
              <w:rPr>
                <w:rFonts w:eastAsia="仿宋"/>
                <w:kern w:val="0"/>
                <w:szCs w:val="21"/>
              </w:rPr>
            </w:pPr>
            <w:r>
              <w:rPr>
                <w:rFonts w:eastAsia="仿宋"/>
                <w:kern w:val="0"/>
                <w:szCs w:val="21"/>
              </w:rPr>
              <w:t>（142）第一类易制毒化学品、药品类易制毒化学品实现双人双锁管理，账册保存期限不少于2年。第二、三类易制毒品实行上锁管理，并记录台账</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（143）收存和发放民用爆炸物品必须进行登记，做到账目清楚，账物相符</w:t>
            </w:r>
          </w:p>
        </w:tc>
        <w:tc>
          <w:tcPr>
            <w:tcW w:w="2543" w:type="dxa"/>
            <w:tcMar>
              <w:left w:w="45" w:type="dxa"/>
              <w:right w:w="45" w:type="dxa"/>
            </w:tcMar>
            <w:vAlign w:val="center"/>
          </w:tcPr>
          <w:p>
            <w:pPr>
              <w:widowControl/>
              <w:spacing w:line="300" w:lineRule="exact"/>
              <w:jc w:val="lef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从合格供应商处采购实验气体，建立气体钢瓶台账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（144）查看记录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pPr>
              <w:rPr>
                <w:rFonts w:eastAsia="仿宋"/>
                <w:szCs w:val="21"/>
              </w:rPr>
            </w:pPr>
            <w:r>
              <w:rPr>
                <w:rFonts w:eastAsia="仿宋"/>
                <w:kern w:val="0"/>
                <w:szCs w:val="21"/>
              </w:rPr>
              <w:t>（145）气体钢瓶存放点须通风、远离热源、</w:t>
            </w:r>
            <w:r>
              <w:rPr>
                <w:rFonts w:eastAsia="仿宋"/>
                <w:szCs w:val="21"/>
              </w:rPr>
              <w:t>避免暴晒，地面平整干燥；</w:t>
            </w:r>
          </w:p>
          <w:p>
            <w:pPr>
              <w:rPr>
                <w:rFonts w:eastAsia="仿宋"/>
                <w:kern w:val="0"/>
                <w:szCs w:val="21"/>
              </w:rPr>
            </w:pPr>
            <w:r>
              <w:rPr>
                <w:rFonts w:eastAsia="仿宋"/>
                <w:szCs w:val="21"/>
              </w:rPr>
              <w:t>（146）</w:t>
            </w:r>
            <w:r>
              <w:rPr>
                <w:rFonts w:eastAsia="仿宋"/>
                <w:kern w:val="0"/>
                <w:szCs w:val="21"/>
              </w:rPr>
              <w:t>气瓶应合理固定；</w:t>
            </w:r>
          </w:p>
          <w:p>
            <w:pPr>
              <w:rPr>
                <w:rFonts w:eastAsia="仿宋"/>
                <w:kern w:val="0"/>
                <w:szCs w:val="21"/>
              </w:rPr>
            </w:pPr>
            <w:r>
              <w:rPr>
                <w:rFonts w:eastAsia="仿宋"/>
                <w:kern w:val="0"/>
                <w:szCs w:val="21"/>
              </w:rPr>
              <w:t>（147）危险气体钢瓶尽量置于室外，室内放置应使用常时排风且带监测报警装置的气瓶柜；</w:t>
            </w:r>
          </w:p>
          <w:p>
            <w:pPr>
              <w:rPr>
                <w:rFonts w:eastAsia="仿宋"/>
                <w:kern w:val="0"/>
                <w:szCs w:val="21"/>
              </w:rPr>
            </w:pPr>
            <w:r>
              <w:rPr>
                <w:rFonts w:eastAsia="仿宋"/>
                <w:kern w:val="0"/>
                <w:szCs w:val="21"/>
              </w:rPr>
              <w:t>（148）气瓶的存放应控制在最小需求量；</w:t>
            </w:r>
          </w:p>
          <w:p>
            <w:pPr>
              <w:rPr>
                <w:rFonts w:eastAsia="仿宋"/>
                <w:kern w:val="0"/>
              </w:rPr>
            </w:pPr>
            <w:r>
              <w:rPr>
                <w:rFonts w:eastAsia="仿宋"/>
                <w:kern w:val="0"/>
                <w:szCs w:val="21"/>
              </w:rPr>
              <w:t>（149）</w:t>
            </w:r>
            <w:r>
              <w:rPr>
                <w:rFonts w:eastAsia="仿宋"/>
                <w:kern w:val="0"/>
              </w:rPr>
              <w:t>涉及有毒、可燃气体的场所，配有通风设施和相应的气体监测和报警装置等，张贴必要的安全警示标识；</w:t>
            </w:r>
          </w:p>
          <w:p>
            <w:pPr>
              <w:rPr>
                <w:rFonts w:eastAsia="仿宋"/>
                <w:kern w:val="0"/>
                <w:szCs w:val="21"/>
              </w:rPr>
            </w:pPr>
            <w:r>
              <w:rPr>
                <w:rFonts w:eastAsia="仿宋"/>
                <w:kern w:val="0"/>
              </w:rPr>
              <w:t>（150）</w:t>
            </w:r>
            <w:r>
              <w:rPr>
                <w:rFonts w:eastAsia="仿宋"/>
                <w:kern w:val="0"/>
                <w:szCs w:val="21"/>
              </w:rPr>
              <w:t>可燃性气体与氧气等助燃气体钢瓶不得混放；</w:t>
            </w:r>
          </w:p>
          <w:p>
            <w:pPr>
              <w:rPr>
                <w:rFonts w:eastAsia="仿宋"/>
                <w:kern w:val="0"/>
                <w:szCs w:val="21"/>
              </w:rPr>
            </w:pPr>
            <w:r>
              <w:rPr>
                <w:rFonts w:eastAsia="仿宋"/>
                <w:kern w:val="0"/>
                <w:szCs w:val="21"/>
              </w:rPr>
              <w:t>（151）</w:t>
            </w:r>
            <w:r>
              <w:rPr>
                <w:rFonts w:eastAsia="仿宋"/>
                <w:kern w:val="0"/>
              </w:rPr>
              <w:t>独立的气体钢瓶室应通风、不混放、有监控，</w:t>
            </w:r>
            <w:r>
              <w:rPr>
                <w:rFonts w:eastAsia="仿宋"/>
                <w:kern w:val="0"/>
                <w:szCs w:val="21"/>
              </w:rPr>
              <w:t>有专人管理和记录；</w:t>
            </w:r>
          </w:p>
          <w:p>
            <w:pPr>
              <w:widowControl/>
              <w:rPr>
                <w:rFonts w:eastAsia="仿宋"/>
                <w:kern w:val="0"/>
                <w:szCs w:val="21"/>
              </w:rPr>
            </w:pPr>
            <w:r>
              <w:rPr>
                <w:rFonts w:eastAsia="仿宋"/>
                <w:kern w:val="0"/>
                <w:szCs w:val="21"/>
              </w:rPr>
              <w:t>（152）有供应商提供的钢瓶定期检验合格标识，无超过检验有效期的气瓶、无超过设计年限的气瓶；</w:t>
            </w:r>
          </w:p>
          <w:p>
            <w:pPr>
              <w:widowControl/>
              <w:rPr>
                <w:rFonts w:eastAsia="仿宋"/>
                <w:kern w:val="0"/>
                <w:szCs w:val="21"/>
              </w:rPr>
            </w:pPr>
            <w:r>
              <w:rPr>
                <w:rFonts w:eastAsia="仿宋"/>
                <w:kern w:val="0"/>
                <w:szCs w:val="21"/>
              </w:rPr>
              <w:t>（153）钢瓶气瓶颜色符合GB/T 7144 的规定要求，确认“满、使用中、空瓶”三种状态；</w:t>
            </w:r>
          </w:p>
          <w:p>
            <w:pPr>
              <w:rPr>
                <w:rFonts w:eastAsia="仿宋"/>
                <w:kern w:val="0"/>
                <w:szCs w:val="21"/>
              </w:rPr>
            </w:pPr>
            <w:r>
              <w:rPr>
                <w:rFonts w:eastAsia="仿宋"/>
                <w:kern w:val="0"/>
                <w:szCs w:val="21"/>
              </w:rPr>
              <w:t>（154）使用完毕，应及时关闭气瓶总阀；</w:t>
            </w:r>
          </w:p>
          <w:p>
            <w:pPr>
              <w:rPr>
                <w:rFonts w:eastAsia="仿宋"/>
                <w:kern w:val="0"/>
              </w:rPr>
            </w:pPr>
            <w:r>
              <w:rPr>
                <w:rFonts w:eastAsia="仿宋"/>
                <w:kern w:val="0"/>
                <w:szCs w:val="21"/>
              </w:rPr>
              <w:t>（155）</w:t>
            </w:r>
            <w:r>
              <w:rPr>
                <w:rFonts w:eastAsia="仿宋"/>
                <w:kern w:val="0"/>
              </w:rPr>
              <w:t>钢瓶附件齐全，未在使用中的气瓶应有气瓶帽</w:t>
            </w:r>
          </w:p>
        </w:tc>
        <w:tc>
          <w:tcPr>
            <w:tcW w:w="2543"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设置必要的气体报警装置</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（156）存有大量无毒窒息性压缩气体或液化气体（液氮、液氩）的较小密闭空间，为</w:t>
            </w:r>
            <w:r>
              <w:rPr>
                <w:rFonts w:eastAsia="仿宋"/>
                <w:bCs/>
                <w:kern w:val="0"/>
                <w:szCs w:val="21"/>
              </w:rPr>
              <w:t>防止大量泄漏或蒸发导致缺氧，</w:t>
            </w:r>
            <w:r>
              <w:rPr>
                <w:rFonts w:eastAsia="仿宋"/>
                <w:szCs w:val="21"/>
              </w:rPr>
              <w:t>须安装氧含量监测报警装置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pPr>
              <w:widowControl/>
              <w:rPr>
                <w:rFonts w:eastAsia="仿宋"/>
                <w:bCs/>
                <w:kern w:val="0"/>
                <w:szCs w:val="21"/>
              </w:rPr>
            </w:pPr>
            <w:r>
              <w:rPr>
                <w:rFonts w:eastAsia="仿宋"/>
                <w:kern w:val="0"/>
                <w:szCs w:val="21"/>
              </w:rPr>
              <w:t>（157）管路材质选择合适，无破损或老化现象，定期进行气密性检查；存在多条气体管路的房间须张贴详细的管路图，管路标识正确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化学废弃物处置管理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eastAsia="仿宋"/>
                <w:kern w:val="0"/>
                <w:szCs w:val="21"/>
              </w:rPr>
              <w:t>（158）暂存区应远离火源、热源和不相容物质，避免日晒、雨淋，存放两种及以上不相容的实验室危险废物时，应分不同区域；</w:t>
            </w:r>
          </w:p>
          <w:p>
            <w:pPr>
              <w:widowControl/>
              <w:rPr>
                <w:rFonts w:eastAsia="仿宋"/>
                <w:kern w:val="0"/>
                <w:szCs w:val="21"/>
              </w:rPr>
            </w:pPr>
            <w:r>
              <w:rPr>
                <w:rFonts w:eastAsia="仿宋"/>
                <w:kern w:val="0"/>
                <w:szCs w:val="21"/>
              </w:rPr>
              <w:t xml:space="preserve">（159）暂存区应有警示标识并有防遗洒、防渗漏设施或措施 </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eastAsia="仿宋"/>
                <w:kern w:val="0"/>
                <w:szCs w:val="21"/>
              </w:rPr>
              <w:t>（160）危险废物应按化学特性和危险特性，进行分类收集和暂存；</w:t>
            </w:r>
          </w:p>
          <w:p>
            <w:pPr>
              <w:widowControl/>
              <w:rPr>
                <w:rFonts w:eastAsia="仿宋"/>
                <w:kern w:val="0"/>
                <w:szCs w:val="21"/>
              </w:rPr>
            </w:pPr>
            <w:r>
              <w:rPr>
                <w:rFonts w:eastAsia="仿宋"/>
                <w:kern w:val="0"/>
                <w:szCs w:val="21"/>
              </w:rPr>
              <w:t>（161）废弃的化学试剂应存放在原试剂瓶中，保留原标签，并瓶口朝上放入专用固废箱中；</w:t>
            </w:r>
          </w:p>
          <w:p>
            <w:pPr>
              <w:widowControl/>
              <w:rPr>
                <w:rFonts w:eastAsia="仿宋"/>
                <w:kern w:val="0"/>
                <w:szCs w:val="21"/>
              </w:rPr>
            </w:pPr>
            <w:r>
              <w:rPr>
                <w:rFonts w:eastAsia="仿宋"/>
                <w:kern w:val="0"/>
                <w:szCs w:val="21"/>
              </w:rPr>
              <w:t>（162）针头等利器需放入利器盒中收集；</w:t>
            </w:r>
          </w:p>
          <w:p>
            <w:pPr>
              <w:widowControl/>
              <w:rPr>
                <w:rFonts w:eastAsia="仿宋"/>
                <w:kern w:val="0"/>
                <w:szCs w:val="21"/>
              </w:rPr>
            </w:pPr>
            <w:r>
              <w:rPr>
                <w:rFonts w:eastAsia="仿宋"/>
                <w:kern w:val="0"/>
                <w:szCs w:val="21"/>
              </w:rPr>
              <w:t>（163）废液应分类装入专用废液桶中，液面不超过容量的3/4。废液桶须满足耐腐蚀、抗溶剂、耐挤压、抗冲击的要求；</w:t>
            </w:r>
          </w:p>
          <w:p>
            <w:pPr>
              <w:widowControl/>
              <w:rPr>
                <w:rFonts w:eastAsia="仿宋"/>
                <w:kern w:val="0"/>
                <w:szCs w:val="21"/>
              </w:rPr>
            </w:pPr>
            <w:r>
              <w:rPr>
                <w:rFonts w:eastAsia="仿宋"/>
                <w:kern w:val="0"/>
                <w:szCs w:val="21"/>
              </w:rPr>
              <w:t>（164）实验室危险废物收集容器上应粘贴危险废物信息标签、警示标志；</w:t>
            </w:r>
          </w:p>
          <w:p>
            <w:pPr>
              <w:widowControl/>
              <w:rPr>
                <w:rFonts w:eastAsia="仿宋"/>
                <w:kern w:val="0"/>
                <w:szCs w:val="21"/>
              </w:rPr>
            </w:pPr>
            <w:r>
              <w:rPr>
                <w:rFonts w:eastAsia="仿宋"/>
                <w:kern w:val="0"/>
                <w:szCs w:val="21"/>
              </w:rPr>
              <w:t>（165）严禁将实验室危险废物直接排入下水道，严禁与生活垃圾、感染性废物或放射性废物等混装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pPr>
              <w:widowControl/>
              <w:rPr>
                <w:rFonts w:eastAsia="仿宋"/>
                <w:kern w:val="0"/>
                <w:szCs w:val="21"/>
              </w:rPr>
            </w:pPr>
            <w:r>
              <w:rPr>
                <w:rFonts w:eastAsia="仿宋"/>
                <w:kern w:val="0"/>
                <w:szCs w:val="21"/>
              </w:rPr>
              <w:t>（166）委托有危险废物处置资质的专业厂家集中处置化学废弃物，查看协议；</w:t>
            </w:r>
          </w:p>
          <w:p>
            <w:pPr>
              <w:widowControl/>
              <w:rPr>
                <w:rFonts w:eastAsia="仿宋"/>
                <w:kern w:val="0"/>
                <w:szCs w:val="21"/>
              </w:rPr>
            </w:pPr>
            <w:r>
              <w:rPr>
                <w:rFonts w:eastAsia="仿宋"/>
                <w:kern w:val="0"/>
                <w:szCs w:val="21"/>
              </w:rPr>
              <w:t>（167）</w:t>
            </w:r>
            <w:r>
              <w:rPr>
                <w:rFonts w:eastAsia="仿宋"/>
                <w:bCs/>
                <w:kern w:val="0"/>
                <w:szCs w:val="21"/>
              </w:rPr>
              <w:t>建立危险废物管理台账</w:t>
            </w:r>
            <w:r>
              <w:rPr>
                <w:rFonts w:eastAsia="仿宋"/>
                <w:kern w:val="0"/>
                <w:szCs w:val="21"/>
              </w:rPr>
              <w:t>，如实记录有关信息，包括种类、产生量、流向、贮存、处置等有关资料；</w:t>
            </w:r>
          </w:p>
          <w:p>
            <w:pPr>
              <w:widowControl/>
              <w:rPr>
                <w:rFonts w:eastAsia="仿宋"/>
                <w:kern w:val="0"/>
                <w:szCs w:val="21"/>
              </w:rPr>
            </w:pPr>
            <w:r>
              <w:rPr>
                <w:rFonts w:eastAsia="仿宋"/>
                <w:kern w:val="0"/>
                <w:szCs w:val="21"/>
              </w:rPr>
              <w:t>（168）校外转运之前，贮存站必须妥善管理实验室危险废物，采取有效措施，防止废物的扬散、流失、渗漏或其他环境污染；</w:t>
            </w:r>
          </w:p>
          <w:p>
            <w:pPr>
              <w:widowControl/>
              <w:rPr>
                <w:rFonts w:eastAsia="仿宋"/>
                <w:kern w:val="0"/>
                <w:szCs w:val="21"/>
              </w:rPr>
            </w:pPr>
            <w:r>
              <w:rPr>
                <w:rFonts w:eastAsia="仿宋"/>
                <w:kern w:val="0"/>
                <w:szCs w:val="21"/>
              </w:rPr>
              <w:t>（169）转运人员应使用专用运输工具，运输前根据运输废物的危险特性，应携带必要的应急物资和个人防护用具，如收集工具、手套、口罩等；</w:t>
            </w:r>
          </w:p>
          <w:p>
            <w:pPr>
              <w:widowControl/>
              <w:rPr>
                <w:rFonts w:eastAsia="仿宋"/>
                <w:kern w:val="0"/>
                <w:szCs w:val="21"/>
              </w:rPr>
            </w:pPr>
            <w:r>
              <w:rPr>
                <w:rFonts w:eastAsia="仿宋"/>
                <w:kern w:val="0"/>
                <w:szCs w:val="21"/>
              </w:rPr>
              <w:t>（170）实验室危险废物的校外转运必须按照国家有关规定填写危险废物电子或者纸质转移联单，任何单位和个人未经许可不得非法转运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pPr>
              <w:widowControl/>
              <w:rPr>
                <w:rFonts w:eastAsia="仿宋"/>
                <w:bCs/>
                <w:kern w:val="0"/>
                <w:szCs w:val="21"/>
              </w:rPr>
            </w:pPr>
            <w:r>
              <w:rPr>
                <w:rFonts w:eastAsia="仿宋"/>
                <w:bCs/>
                <w:kern w:val="0"/>
                <w:szCs w:val="21"/>
              </w:rPr>
              <w:t>（171）制定意外事故的防范措施和应急预案</w:t>
            </w:r>
            <w:r>
              <w:rPr>
                <w:rFonts w:eastAsia="仿宋"/>
                <w:kern w:val="0"/>
                <w:szCs w:val="21"/>
              </w:rPr>
              <w:t>，并向所在地生态环境主管部门</w:t>
            </w:r>
            <w:r>
              <w:rPr>
                <w:rFonts w:eastAsia="仿宋"/>
                <w:bCs/>
                <w:kern w:val="0"/>
                <w:szCs w:val="21"/>
              </w:rPr>
              <w:t>备案；</w:t>
            </w:r>
          </w:p>
          <w:p>
            <w:pPr>
              <w:widowControl/>
              <w:rPr>
                <w:rFonts w:eastAsia="仿宋"/>
                <w:kern w:val="0"/>
                <w:szCs w:val="21"/>
              </w:rPr>
            </w:pPr>
            <w:r>
              <w:rPr>
                <w:rFonts w:eastAsia="仿宋"/>
                <w:kern w:val="0"/>
                <w:szCs w:val="21"/>
              </w:rPr>
              <w:t>（172）贮存站应有具体的管理办法并将贮存站安全运行、实验室危险废物出站转运等日常管理工作落实到相关人员的岗位职责中；</w:t>
            </w:r>
          </w:p>
          <w:p>
            <w:pPr>
              <w:widowControl/>
              <w:rPr>
                <w:rFonts w:eastAsia="仿宋"/>
                <w:kern w:val="0"/>
                <w:szCs w:val="21"/>
              </w:rPr>
            </w:pPr>
            <w:r>
              <w:rPr>
                <w:rFonts w:eastAsia="仿宋"/>
                <w:kern w:val="0"/>
                <w:szCs w:val="21"/>
              </w:rPr>
              <w:t>（173）贮存</w:t>
            </w:r>
            <w:r>
              <w:rPr>
                <w:rFonts w:eastAsia="仿宋"/>
                <w:bCs/>
                <w:kern w:val="0"/>
                <w:szCs w:val="21"/>
              </w:rPr>
              <w:t>设施、场所</w:t>
            </w:r>
            <w:r>
              <w:rPr>
                <w:rFonts w:eastAsia="仿宋"/>
                <w:kern w:val="0"/>
                <w:szCs w:val="21"/>
              </w:rPr>
              <w:t>应当按照规定</w:t>
            </w:r>
            <w:r>
              <w:rPr>
                <w:rFonts w:eastAsia="仿宋"/>
                <w:bCs/>
                <w:kern w:val="0"/>
                <w:szCs w:val="21"/>
              </w:rPr>
              <w:t>设置危险废物识别标志</w:t>
            </w:r>
            <w:r>
              <w:rPr>
                <w:rFonts w:eastAsia="仿宋"/>
                <w:kern w:val="0"/>
                <w:szCs w:val="21"/>
              </w:rPr>
              <w:t>；</w:t>
            </w:r>
          </w:p>
          <w:p>
            <w:pPr>
              <w:widowControl/>
              <w:rPr>
                <w:rFonts w:eastAsia="仿宋"/>
                <w:kern w:val="0"/>
                <w:szCs w:val="21"/>
              </w:rPr>
            </w:pPr>
            <w:r>
              <w:rPr>
                <w:rFonts w:eastAsia="仿宋"/>
                <w:kern w:val="0"/>
                <w:szCs w:val="21"/>
              </w:rPr>
              <w:t>（174）贮存站管理员须作好实验室危险废物收集及外送情况的记录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危化品仓库与废弃物贮存站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（175）危险品仓库、化学实验废弃物贮存站须有通风、隔热、避光、防盗、防爆、防静电、泄露报警、应急喷淋、安全警示标识等技防措施，符合相关规定，专人管理；</w:t>
            </w:r>
          </w:p>
          <w:p>
            <w:pPr>
              <w:widowControl/>
              <w:spacing w:line="300" w:lineRule="exact"/>
              <w:rPr>
                <w:rFonts w:eastAsia="仿宋"/>
                <w:szCs w:val="21"/>
              </w:rPr>
            </w:pPr>
            <w:r>
              <w:rPr>
                <w:rFonts w:eastAsia="仿宋"/>
                <w:kern w:val="0"/>
                <w:szCs w:val="21"/>
              </w:rPr>
              <w:t>（176）危险品仓库、化学实验废弃物贮存站的消防</w:t>
            </w:r>
            <w:r>
              <w:rPr>
                <w:rFonts w:eastAsia="仿宋"/>
                <w:szCs w:val="21"/>
              </w:rPr>
              <w:t>设施符合国家相关规定，正确配备灭火器材（如灭火器、灭火毯、砂箱、自动喷淋等）；</w:t>
            </w:r>
          </w:p>
          <w:p>
            <w:pPr>
              <w:widowControl/>
              <w:spacing w:line="300" w:lineRule="exact"/>
              <w:rPr>
                <w:rFonts w:eastAsia="仿宋"/>
                <w:kern w:val="0"/>
                <w:szCs w:val="21"/>
              </w:rPr>
            </w:pPr>
            <w:r>
              <w:rPr>
                <w:rFonts w:eastAsia="仿宋"/>
                <w:szCs w:val="21"/>
              </w:rPr>
              <w:t>（177）</w:t>
            </w:r>
            <w:r>
              <w:rPr>
                <w:rFonts w:eastAsia="仿宋"/>
                <w:kern w:val="0"/>
                <w:szCs w:val="21"/>
              </w:rPr>
              <w:t>危险品仓库、化学实验废弃物贮存站不能建设在地下室空间，若在实验楼内，必须有警示、通风、隔热、避光、防盗、防爆、防静电、泄露报警、应急喷淋等技防措施，面积不超过30平方米；</w:t>
            </w:r>
          </w:p>
          <w:p>
            <w:pPr>
              <w:widowControl/>
              <w:spacing w:line="300" w:lineRule="exact"/>
              <w:rPr>
                <w:rFonts w:eastAsia="仿宋"/>
                <w:kern w:val="0"/>
                <w:szCs w:val="21"/>
              </w:rPr>
            </w:pPr>
            <w:r>
              <w:rPr>
                <w:rFonts w:eastAsia="仿宋"/>
                <w:kern w:val="0"/>
                <w:szCs w:val="21"/>
              </w:rPr>
              <w:t>（178）危险品仓库的试剂不混放，整箱试剂的叠加高度不大于1.5米</w:t>
            </w:r>
          </w:p>
        </w:tc>
        <w:tc>
          <w:tcPr>
            <w:tcW w:w="2543" w:type="dxa"/>
            <w:tcMar>
              <w:left w:w="45" w:type="dxa"/>
              <w:right w:w="45" w:type="dxa"/>
            </w:tcMar>
            <w:vAlign w:val="center"/>
          </w:tcPr>
          <w:p>
            <w:pPr>
              <w:widowControl/>
              <w:spacing w:line="300" w:lineRule="exact"/>
              <w:jc w:val="lef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其他化学安全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pPr>
              <w:widowControl/>
              <w:rPr>
                <w:rFonts w:eastAsia="仿宋"/>
                <w:kern w:val="0"/>
              </w:rPr>
            </w:pPr>
            <w:r>
              <w:rPr>
                <w:rFonts w:eastAsia="仿宋"/>
                <w:kern w:val="0"/>
              </w:rPr>
              <w:t>（179）装有配制试剂、合成品、样品等的容器上标签信息明确，标签信息包括名称或编号、使用人、日期等；</w:t>
            </w:r>
          </w:p>
          <w:p>
            <w:pPr>
              <w:widowControl/>
              <w:rPr>
                <w:rFonts w:eastAsia="仿宋"/>
                <w:bCs/>
                <w:kern w:val="0"/>
                <w:szCs w:val="21"/>
              </w:rPr>
            </w:pPr>
            <w:r>
              <w:rPr>
                <w:rFonts w:eastAsia="仿宋"/>
                <w:kern w:val="0"/>
              </w:rPr>
              <w:t>（180）无使用饮料瓶存放试剂、样品的现象，如确需使用，必须撕去原包装纸，贴上试剂标签</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（181）查看现场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（182）BSL-3/ABSL-3、BSL-4/ABSL-4实验室须经政府部门批准建设，BSL-1/ ABSL-1、BSL-2/ ABSL-2 实验室由学校建设后报卫生或农业部门备案</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（183）以国家法律、法规、标准、规范，以及权威机构发布的指南、数据等为依据</w:t>
            </w:r>
            <w:r>
              <w:rPr>
                <w:rFonts w:eastAsia="仿宋"/>
                <w:kern w:val="0"/>
                <w:szCs w:val="21"/>
              </w:rPr>
              <w:t>，对涉及的致病性生物因子进行风险评估，选择对应的实验室安全级别进行致病性病原微生物研究，重点关注：开展未经灭活的高致病性病原微生物（列入一类、二类）相关实验和研究，必须在BSL-3/ABSL-3、BSL-4/ABSL-4实验室中进行；开展低致病性病原微生物（列入三类、四类），或经灭活的高致病性感染性材料的相关实验和研究，必须在BSL-1/ ABSL-1、BSL-2/ ABSL-2或以上等级实验室中进行</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eastAsia="仿宋"/>
                <w:kern w:val="0"/>
                <w:szCs w:val="21"/>
              </w:rPr>
              <w:t>（184）BSL-2/ABSL-2及以上安全等级实验室须设门禁管理和准入制度，储存病原微生物的场所或储柜配备防盗设施，</w:t>
            </w:r>
            <w:r>
              <w:rPr>
                <w:rFonts w:eastAsia="仿宋"/>
                <w:kern w:val="0"/>
              </w:rPr>
              <w:t>BSL-3/ABSL-3及以上安全等级实验室须</w:t>
            </w:r>
            <w:r>
              <w:rPr>
                <w:rFonts w:eastAsia="仿宋"/>
                <w:kern w:val="0"/>
                <w:szCs w:val="21"/>
              </w:rPr>
              <w:t>安装监控报警装置</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（185）BSL-2/ABSL-2及以上安全等级实验室须配有II级生物安全柜，定期进行检测，</w:t>
            </w:r>
            <w:r>
              <w:rPr>
                <w:rFonts w:eastAsia="仿宋"/>
                <w:bCs/>
                <w:kern w:val="0"/>
                <w:szCs w:val="21"/>
              </w:rPr>
              <w:t>B型生物安全柜需有正常通风系统；</w:t>
            </w:r>
          </w:p>
          <w:p>
            <w:pPr>
              <w:widowControl/>
              <w:spacing w:line="300" w:lineRule="exact"/>
              <w:rPr>
                <w:rFonts w:eastAsia="仿宋"/>
                <w:kern w:val="0"/>
                <w:szCs w:val="21"/>
              </w:rPr>
            </w:pPr>
            <w:r>
              <w:rPr>
                <w:rFonts w:eastAsia="仿宋"/>
                <w:kern w:val="0"/>
                <w:szCs w:val="21"/>
              </w:rPr>
              <w:t>（186）BSL-2/ABSL-2及以上安全等级实验室应配备消防器材和设施、应急供电（至少延时半小时），必要的应急淋浴及洗眼装置；</w:t>
            </w:r>
          </w:p>
          <w:p>
            <w:pPr>
              <w:widowControl/>
              <w:spacing w:line="300" w:lineRule="exact"/>
              <w:rPr>
                <w:rFonts w:eastAsia="仿宋"/>
                <w:kern w:val="0"/>
                <w:szCs w:val="21"/>
              </w:rPr>
            </w:pPr>
            <w:r>
              <w:rPr>
                <w:rFonts w:eastAsia="仿宋"/>
                <w:kern w:val="0"/>
                <w:szCs w:val="21"/>
              </w:rPr>
              <w:t>（187）BSL-2/ABSL-2及以上安全等级实验室的传递窗功能正常、内部不存放物品；安装有防虫纱窗、入口处有挡鼠板；</w:t>
            </w:r>
          </w:p>
          <w:p>
            <w:pPr>
              <w:widowControl/>
              <w:spacing w:line="300" w:lineRule="exact"/>
              <w:rPr>
                <w:rFonts w:eastAsia="仿宋"/>
                <w:bCs/>
                <w:kern w:val="0"/>
                <w:szCs w:val="21"/>
              </w:rPr>
            </w:pPr>
            <w:r>
              <w:rPr>
                <w:rFonts w:eastAsia="仿宋"/>
                <w:kern w:val="0"/>
                <w:szCs w:val="21"/>
              </w:rPr>
              <w:t>（188）生物安全实验室配有压力蒸汽灭菌器，每次使用时监测灭菌效果</w:t>
            </w:r>
          </w:p>
        </w:tc>
        <w:tc>
          <w:tcPr>
            <w:tcW w:w="2543" w:type="dxa"/>
            <w:tcMar>
              <w:left w:w="45" w:type="dxa"/>
              <w:right w:w="45" w:type="dxa"/>
            </w:tcMar>
            <w:vAlign w:val="center"/>
          </w:tcPr>
          <w:p>
            <w:pPr>
              <w:widowControl/>
              <w:spacing w:line="300" w:lineRule="exact"/>
              <w:rPr>
                <w:rFonts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（189）使用紫外灯的生物安全实验室应设安全警示标志，尤其应对紫外灯开关张贴警示标识；</w:t>
            </w:r>
          </w:p>
          <w:p>
            <w:pPr>
              <w:widowControl/>
              <w:spacing w:line="300" w:lineRule="exact"/>
              <w:rPr>
                <w:rFonts w:eastAsia="仿宋"/>
                <w:kern w:val="0"/>
                <w:szCs w:val="21"/>
              </w:rPr>
            </w:pPr>
            <w:r>
              <w:rPr>
                <w:rFonts w:eastAsia="仿宋"/>
                <w:kern w:val="0"/>
                <w:szCs w:val="21"/>
              </w:rPr>
              <w:t>（190）使用紫外灯的生物安全实验室在消毒过程中禁止人员进入。采用紫外加臭氧方式消毒应在消毒时间结束后有一定的排风时间，臭氧消散后人员方可进入</w:t>
            </w:r>
          </w:p>
        </w:tc>
        <w:tc>
          <w:tcPr>
            <w:tcW w:w="2543" w:type="dxa"/>
            <w:tcMar>
              <w:left w:w="45" w:type="dxa"/>
              <w:right w:w="45" w:type="dxa"/>
            </w:tcMar>
            <w:vAlign w:val="center"/>
          </w:tcPr>
          <w:p>
            <w:pPr>
              <w:pStyle w:val="6"/>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采购或自行分离高致病性病原微生物菌（毒）种，须办理相应申请和报批手续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（191）采购病原微生物须从有资质的单位购买，具有相应合格证书。须按照学校流程审批，报行业主管部门批准；</w:t>
            </w:r>
          </w:p>
          <w:p>
            <w:pPr>
              <w:widowControl/>
              <w:spacing w:line="300" w:lineRule="exact"/>
              <w:rPr>
                <w:rFonts w:eastAsia="仿宋"/>
                <w:kern w:val="0"/>
                <w:szCs w:val="21"/>
              </w:rPr>
            </w:pPr>
            <w:r>
              <w:rPr>
                <w:rFonts w:eastAsia="仿宋"/>
                <w:kern w:val="0"/>
                <w:szCs w:val="21"/>
              </w:rPr>
              <w:t>（192）转移和运输病原微生物需按规定报卫生和农业主管部门批准，并按相应的运输包装要求包装后转移和运输</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（193）病原微生物菌（毒）种保存在带锁冰箱或柜子中，高致病性病原微生物实行双人双锁管理。有病原微生物菌（毒）种保存、实验使用、销毁的记录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（194）人员经考核合格，并取得证书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（195）实施监测和治疗方案，并妥善保存相应的医学记录。</w:t>
            </w:r>
            <w:r>
              <w:rPr>
                <w:rFonts w:eastAsia="仿宋"/>
                <w:bCs/>
                <w:kern w:val="0"/>
                <w:szCs w:val="21"/>
              </w:rPr>
              <w:t>有上岗前体检和离岗体检，长期工作有定期体检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（196）外来人员进入生物安全实验室需经负责人批准，并有相关的教育培训、安全防控措施</w:t>
            </w:r>
            <w:r>
              <w:rPr>
                <w:rFonts w:eastAsia="仿宋"/>
                <w:bCs/>
                <w:kern w:val="0"/>
                <w:szCs w:val="21"/>
              </w:rPr>
              <w:t>。出现感冒发热等症状时，不得进行病原微生物实验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（197）有从事病原微生物相关实验活动的标准操作规范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（198）BSL-2 /ABSL-2及以上等级实验室，开展病原微生物的相关实验活动应有风险评估和应急预案，包括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eastAsia="仿宋"/>
                <w:kern w:val="0"/>
                <w:szCs w:val="21"/>
              </w:rPr>
              <w:t>（199）在合适的生物安全柜中进行实验操作</w:t>
            </w:r>
            <w:r>
              <w:rPr>
                <w:rFonts w:eastAsia="仿宋"/>
                <w:bCs/>
                <w:kern w:val="0"/>
                <w:szCs w:val="21"/>
              </w:rPr>
              <w:t>；不得在超净工作台中进行病原微生物实验；</w:t>
            </w:r>
          </w:p>
          <w:p>
            <w:pPr>
              <w:rPr>
                <w:rFonts w:eastAsia="仿宋"/>
                <w:kern w:val="0"/>
                <w:szCs w:val="21"/>
              </w:rPr>
            </w:pPr>
            <w:r>
              <w:rPr>
                <w:rFonts w:eastAsia="仿宋"/>
                <w:bCs/>
                <w:kern w:val="0"/>
                <w:szCs w:val="21"/>
              </w:rPr>
              <w:t>（200）</w:t>
            </w:r>
            <w:r>
              <w:rPr>
                <w:rFonts w:eastAsia="仿宋"/>
                <w:kern w:val="0"/>
                <w:szCs w:val="21"/>
              </w:rPr>
              <w:t>安全操作高速离心机，小心防止离心管破损或盖子破损造成溢出或气溶胶散发；</w:t>
            </w:r>
          </w:p>
          <w:p>
            <w:pPr>
              <w:rPr>
                <w:rFonts w:eastAsia="仿宋"/>
                <w:kern w:val="0"/>
                <w:szCs w:val="21"/>
              </w:rPr>
            </w:pPr>
            <w:r>
              <w:rPr>
                <w:rFonts w:eastAsia="仿宋"/>
                <w:kern w:val="0"/>
                <w:szCs w:val="21"/>
              </w:rPr>
              <w:t>（201）有合适的个人防护措施，</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eastAsia="仿宋"/>
                <w:kern w:val="0"/>
                <w:szCs w:val="21"/>
              </w:rPr>
              <w:t>（202）饲养实验动物的场所应有资质证书，实验动物需从具有资质的单位购买，有合格证明，</w:t>
            </w:r>
            <w:r>
              <w:rPr>
                <w:rFonts w:eastAsia="仿宋"/>
                <w:szCs w:val="21"/>
              </w:rPr>
              <w:t>用于解剖的实验动物须经过检验检疫合格；</w:t>
            </w:r>
          </w:p>
          <w:p>
            <w:pPr>
              <w:widowControl/>
              <w:spacing w:line="300" w:lineRule="exact"/>
              <w:rPr>
                <w:rFonts w:eastAsia="仿宋"/>
                <w:szCs w:val="21"/>
              </w:rPr>
            </w:pPr>
            <w:r>
              <w:rPr>
                <w:rFonts w:eastAsia="仿宋"/>
                <w:szCs w:val="21"/>
              </w:rPr>
              <w:t>（203）解剖实验动物时，必须做好个人安全防护；</w:t>
            </w:r>
          </w:p>
          <w:p>
            <w:pPr>
              <w:widowControl/>
              <w:spacing w:line="300" w:lineRule="exact"/>
              <w:rPr>
                <w:rFonts w:eastAsia="仿宋"/>
                <w:bCs/>
                <w:kern w:val="0"/>
                <w:szCs w:val="21"/>
              </w:rPr>
            </w:pPr>
            <w:r>
              <w:rPr>
                <w:rFonts w:eastAsia="仿宋"/>
                <w:szCs w:val="21"/>
              </w:rPr>
              <w:t>（204）</w:t>
            </w:r>
            <w:r>
              <w:rPr>
                <w:rFonts w:eastAsia="仿宋"/>
                <w:kern w:val="0"/>
                <w:szCs w:val="21"/>
              </w:rPr>
              <w:t>定期组织健康检查</w:t>
            </w:r>
          </w:p>
        </w:tc>
        <w:tc>
          <w:tcPr>
            <w:tcW w:w="2543"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（205）学校有伦理审查机构，查看伦理审查记录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pPr>
              <w:rPr>
                <w:rFonts w:eastAsia="仿宋"/>
                <w:kern w:val="0"/>
                <w:szCs w:val="21"/>
              </w:rPr>
            </w:pPr>
            <w:r>
              <w:rPr>
                <w:rFonts w:eastAsia="仿宋"/>
                <w:kern w:val="0"/>
                <w:szCs w:val="21"/>
              </w:rPr>
              <w:t>（206）学校与有资质的单位签约处置感染性废物，有交接记录，形成电子或者纸质台账；</w:t>
            </w:r>
          </w:p>
          <w:p>
            <w:pPr>
              <w:rPr>
                <w:rFonts w:eastAsia="仿宋"/>
                <w:bCs/>
                <w:kern w:val="0"/>
                <w:szCs w:val="21"/>
              </w:rPr>
            </w:pPr>
            <w:r>
              <w:rPr>
                <w:rFonts w:eastAsia="仿宋"/>
                <w:kern w:val="0"/>
                <w:szCs w:val="21"/>
              </w:rPr>
              <w:t>（207）学校有生物废弃物中转站或收集点，生物废物及时收集转运</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生物废弃物与其他类别废物分开，且做好防护和消杀</w:t>
            </w:r>
          </w:p>
        </w:tc>
        <w:tc>
          <w:tcPr>
            <w:tcW w:w="7660" w:type="dxa"/>
            <w:tcMar>
              <w:left w:w="45" w:type="dxa"/>
              <w:right w:w="45" w:type="dxa"/>
            </w:tcMar>
            <w:vAlign w:val="center"/>
          </w:tcPr>
          <w:p>
            <w:pPr>
              <w:rPr>
                <w:rFonts w:eastAsia="仿宋"/>
                <w:kern w:val="0"/>
                <w:szCs w:val="21"/>
              </w:rPr>
            </w:pPr>
            <w:r>
              <w:rPr>
                <w:rFonts w:eastAsia="仿宋"/>
                <w:kern w:val="0"/>
                <w:szCs w:val="21"/>
              </w:rPr>
              <w:t>（208）生物废物应与化学废物、生活垃圾等分开存储；</w:t>
            </w:r>
          </w:p>
          <w:p>
            <w:pPr>
              <w:rPr>
                <w:rFonts w:eastAsia="仿宋"/>
                <w:kern w:val="0"/>
                <w:szCs w:val="21"/>
              </w:rPr>
            </w:pPr>
            <w:r>
              <w:rPr>
                <w:rFonts w:eastAsia="仿宋"/>
                <w:kern w:val="0"/>
                <w:szCs w:val="21"/>
              </w:rPr>
              <w:t>（209）实验室内配备生物废物垃圾桶（内置</w:t>
            </w:r>
            <w:r>
              <w:rPr>
                <w:rFonts w:eastAsia="仿宋"/>
                <w:kern w:val="0"/>
              </w:rPr>
              <w:t>生物废物专用</w:t>
            </w:r>
            <w:r>
              <w:rPr>
                <w:rFonts w:eastAsia="仿宋"/>
                <w:kern w:val="0"/>
                <w:szCs w:val="21"/>
              </w:rPr>
              <w:t>塑料袋），并粘贴专用标签标识；</w:t>
            </w:r>
          </w:p>
          <w:p>
            <w:pPr>
              <w:rPr>
                <w:rFonts w:eastAsia="仿宋"/>
                <w:kern w:val="0"/>
                <w:szCs w:val="21"/>
              </w:rPr>
            </w:pPr>
            <w:r>
              <w:rPr>
                <w:rFonts w:eastAsia="仿宋"/>
                <w:kern w:val="0"/>
                <w:szCs w:val="21"/>
              </w:rPr>
              <w:t>（210）刀片、移液枪头等尖锐物应使用利器盒或耐扎纸板箱盛放，送储时再装入</w:t>
            </w:r>
            <w:r>
              <w:rPr>
                <w:rFonts w:eastAsia="仿宋"/>
                <w:kern w:val="0"/>
              </w:rPr>
              <w:t>生物废物专用塑料袋</w:t>
            </w:r>
            <w:r>
              <w:rPr>
                <w:rFonts w:eastAsia="仿宋"/>
                <w:kern w:val="0"/>
                <w:szCs w:val="21"/>
              </w:rPr>
              <w:t>，贴好标签；</w:t>
            </w:r>
          </w:p>
          <w:p>
            <w:pPr>
              <w:rPr>
                <w:rFonts w:eastAsia="仿宋"/>
                <w:kern w:val="0"/>
                <w:szCs w:val="21"/>
              </w:rPr>
            </w:pPr>
            <w:r>
              <w:rPr>
                <w:rFonts w:eastAsia="仿宋"/>
                <w:kern w:val="0"/>
                <w:szCs w:val="21"/>
              </w:rPr>
              <w:t>（211）动物实验结束后，动物尸体及组织应做无害化处理，废物彻底灭菌后方可处置；</w:t>
            </w:r>
          </w:p>
          <w:p>
            <w:pPr>
              <w:rPr>
                <w:rFonts w:eastAsia="仿宋"/>
                <w:kern w:val="0"/>
                <w:szCs w:val="21"/>
              </w:rPr>
            </w:pPr>
            <w:r>
              <w:rPr>
                <w:rFonts w:eastAsia="仿宋"/>
                <w:kern w:val="0"/>
                <w:szCs w:val="21"/>
              </w:rPr>
              <w:t>（212）涉及病原微生物或其他细菌类的生物废物必须进行高温高压灭菌或化学浸泡处理，然后由有资质的公司进行最终处置；</w:t>
            </w:r>
          </w:p>
          <w:p>
            <w:pPr>
              <w:rPr>
                <w:rFonts w:eastAsia="仿宋"/>
                <w:bCs/>
                <w:kern w:val="0"/>
                <w:szCs w:val="21"/>
              </w:rPr>
            </w:pPr>
            <w:r>
              <w:rPr>
                <w:rFonts w:eastAsia="仿宋"/>
                <w:kern w:val="0"/>
                <w:szCs w:val="21"/>
              </w:rPr>
              <w:t>（213）高致病性生物材料废物处置实现溯源追踪</w:t>
            </w:r>
          </w:p>
        </w:tc>
        <w:tc>
          <w:tcPr>
            <w:tcW w:w="2543" w:type="dxa"/>
            <w:tcMar>
              <w:left w:w="45" w:type="dxa"/>
              <w:right w:w="45" w:type="dxa"/>
            </w:tcMar>
            <w:vAlign w:val="center"/>
          </w:tcPr>
          <w:p>
            <w:pPr>
              <w:widowControl/>
              <w:spacing w:line="300" w:lineRule="exact"/>
              <w:rPr>
                <w:rFonts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（214）按规定在放射性核素种类和用量以及射线种类许可范围内开展实验。除已被豁免管理外，射线装置、放射源或者非密封放射性物质应纳入许可证范畴</w:t>
            </w:r>
          </w:p>
        </w:tc>
        <w:tc>
          <w:tcPr>
            <w:tcW w:w="2543" w:type="dxa"/>
            <w:tcMar>
              <w:left w:w="45" w:type="dxa"/>
              <w:right w:w="45" w:type="dxa"/>
            </w:tcMar>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（215）辐射工作人员具有《辐射安全与防护培训合格证书》，或者《生态环境部辐射安全与防护考核通过报告单》；</w:t>
            </w:r>
          </w:p>
          <w:p>
            <w:pPr>
              <w:widowControl/>
              <w:spacing w:line="300" w:lineRule="exact"/>
              <w:rPr>
                <w:rFonts w:eastAsia="仿宋"/>
                <w:kern w:val="0"/>
                <w:szCs w:val="21"/>
              </w:rPr>
            </w:pPr>
            <w:r>
              <w:rPr>
                <w:rFonts w:eastAsia="仿宋"/>
                <w:kern w:val="0"/>
                <w:szCs w:val="21"/>
              </w:rPr>
              <w:t>（216）</w:t>
            </w:r>
            <w:r>
              <w:rPr>
                <w:rFonts w:eastAsia="仿宋"/>
                <w:szCs w:val="21"/>
              </w:rPr>
              <w:t>辐射工作</w:t>
            </w:r>
            <w:r>
              <w:rPr>
                <w:rFonts w:eastAsia="仿宋"/>
                <w:kern w:val="0"/>
                <w:szCs w:val="21"/>
              </w:rPr>
              <w:t>人员按时参加放射性职业体检（2年1次），有健康档案；</w:t>
            </w:r>
          </w:p>
          <w:p>
            <w:pPr>
              <w:widowControl/>
              <w:spacing w:line="300" w:lineRule="exact"/>
              <w:rPr>
                <w:rFonts w:eastAsia="仿宋"/>
                <w:bCs/>
                <w:kern w:val="0"/>
                <w:szCs w:val="21"/>
              </w:rPr>
            </w:pPr>
            <w:r>
              <w:rPr>
                <w:rFonts w:eastAsia="仿宋"/>
                <w:kern w:val="0"/>
                <w:szCs w:val="21"/>
              </w:rPr>
              <w:t>（217）</w:t>
            </w:r>
            <w:r>
              <w:rPr>
                <w:rFonts w:eastAsia="仿宋"/>
                <w:szCs w:val="21"/>
              </w:rPr>
              <w:t>辐射工作</w:t>
            </w:r>
            <w:r>
              <w:rPr>
                <w:rFonts w:eastAsia="仿宋"/>
                <w:kern w:val="0"/>
                <w:szCs w:val="21"/>
              </w:rPr>
              <w:t>人员进入实验场所须佩带个人剂量计，剂量计委托有资质的单位按时进行剂量监测（3个月一次）</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（218）持有核材料数量达到法定要求的单位须</w:t>
            </w:r>
            <w:r>
              <w:rPr>
                <w:rFonts w:eastAsia="仿宋"/>
                <w:kern w:val="0"/>
                <w:szCs w:val="21"/>
              </w:rPr>
              <w:t>取得核材料许可证，</w:t>
            </w:r>
            <w:r>
              <w:rPr>
                <w:rFonts w:eastAsia="仿宋"/>
                <w:szCs w:val="21"/>
              </w:rPr>
              <w:t>有专职机构或指定专人负责核材料管制工作，核材料衡算和核安保工作执行国家法律法规要求</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（219）放射源储存库应设“双人双锁”，并有安全报警系统和视频监控系统；</w:t>
            </w:r>
          </w:p>
          <w:p>
            <w:pPr>
              <w:widowControl/>
              <w:spacing w:line="300" w:lineRule="exact"/>
              <w:rPr>
                <w:rFonts w:eastAsia="仿宋"/>
                <w:bCs/>
                <w:kern w:val="0"/>
                <w:szCs w:val="21"/>
              </w:rPr>
            </w:pPr>
            <w:r>
              <w:rPr>
                <w:rFonts w:eastAsia="仿宋"/>
                <w:kern w:val="0"/>
                <w:szCs w:val="21"/>
              </w:rPr>
              <w:t>（220）辐照设施设备和2类以上射线装置具有能正常工作的安全连锁装置和报警装置，有明显的安全警示标识、警戒线和剂量报警仪</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（221）查</w:t>
            </w:r>
            <w:r>
              <w:rPr>
                <w:rFonts w:eastAsia="仿宋"/>
                <w:kern w:val="0"/>
                <w:szCs w:val="21"/>
              </w:rPr>
              <w:t>看场所辐射环境监测报告</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（222）放射源和放射性物质的采购和转让转移有学校及生态环境部门的审批备案材料，采购和转让转移前必须先做环境影响评价工作；</w:t>
            </w:r>
          </w:p>
          <w:p>
            <w:pPr>
              <w:widowControl/>
              <w:spacing w:line="300" w:lineRule="exact"/>
              <w:rPr>
                <w:rFonts w:eastAsia="仿宋"/>
                <w:kern w:val="0"/>
                <w:szCs w:val="21"/>
              </w:rPr>
            </w:pPr>
            <w:r>
              <w:rPr>
                <w:rFonts w:eastAsia="仿宋"/>
                <w:kern w:val="0"/>
                <w:szCs w:val="21"/>
              </w:rPr>
              <w:t>（223）放射性物质的转移和运输有学校及公安部门的审批备案材料；</w:t>
            </w:r>
          </w:p>
          <w:p>
            <w:pPr>
              <w:widowControl/>
              <w:spacing w:line="300" w:lineRule="exact"/>
              <w:rPr>
                <w:rFonts w:eastAsia="仿宋"/>
                <w:bCs/>
                <w:kern w:val="0"/>
                <w:szCs w:val="21"/>
              </w:rPr>
            </w:pPr>
            <w:r>
              <w:rPr>
                <w:rFonts w:eastAsia="仿宋"/>
                <w:kern w:val="0"/>
                <w:szCs w:val="21"/>
              </w:rPr>
              <w:t>（224）放射源、放射性物质以及3类以上射线装置储存和使用场所变更应重新开展环境影响评价</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（225）重点关注γ辐照、电子加速器、射线探伤仪、非密封性放射性实验操作、5类以上的密封性放射性实验操作；</w:t>
            </w:r>
          </w:p>
          <w:p>
            <w:pPr>
              <w:widowControl/>
              <w:spacing w:line="300" w:lineRule="exact"/>
              <w:rPr>
                <w:rFonts w:eastAsia="仿宋"/>
                <w:bCs/>
                <w:kern w:val="0"/>
                <w:szCs w:val="21"/>
              </w:rPr>
            </w:pPr>
            <w:r>
              <w:rPr>
                <w:rFonts w:eastAsia="仿宋"/>
                <w:kern w:val="0"/>
                <w:szCs w:val="21"/>
              </w:rPr>
              <w:t>（226）查看辐射事故应急预案及应急演练记录（每年不少于一次演练）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（227）中、长半衰期核素固液废物有符合国家相关规定的处置方案或回收协议，短半衰期核素固液废弃物放置10个半衰期经检测达标后作为普通废物处理，并有处置记录；</w:t>
            </w:r>
          </w:p>
          <w:p>
            <w:pPr>
              <w:widowControl/>
              <w:spacing w:line="300" w:lineRule="exact"/>
              <w:rPr>
                <w:rFonts w:eastAsia="仿宋"/>
                <w:bCs/>
                <w:kern w:val="0"/>
                <w:szCs w:val="21"/>
              </w:rPr>
            </w:pPr>
            <w:r>
              <w:rPr>
                <w:rFonts w:eastAsia="仿宋"/>
                <w:kern w:val="0"/>
                <w:szCs w:val="21"/>
              </w:rPr>
              <w:t>（228）报废含有放射源或可产生放射性的设备，需报学校管理部门同意，并按国家规定进行退役处置。</w:t>
            </w:r>
            <w:r>
              <w:rPr>
                <w:rFonts w:eastAsia="仿宋"/>
                <w:bCs/>
                <w:kern w:val="0"/>
                <w:szCs w:val="21"/>
              </w:rPr>
              <w:t>X光管报废时应破坏高压设备，拍照留存；</w:t>
            </w:r>
          </w:p>
          <w:p>
            <w:pPr>
              <w:widowControl/>
              <w:spacing w:line="300" w:lineRule="exact"/>
              <w:rPr>
                <w:rFonts w:eastAsia="仿宋"/>
                <w:kern w:val="0"/>
                <w:szCs w:val="21"/>
              </w:rPr>
            </w:pPr>
            <w:r>
              <w:rPr>
                <w:rFonts w:eastAsia="仿宋"/>
                <w:bCs/>
                <w:kern w:val="0"/>
                <w:szCs w:val="21"/>
              </w:rPr>
              <w:t>（229）</w:t>
            </w:r>
            <w:r>
              <w:rPr>
                <w:rFonts w:eastAsia="仿宋"/>
                <w:kern w:val="0"/>
                <w:szCs w:val="21"/>
              </w:rPr>
              <w:t>涉源实验场所退役，须按国家相关规定执行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（230）相关实验室应当配置专门的放射性废物收集桶；放射性废液送贮前应进行固化整备；</w:t>
            </w:r>
          </w:p>
          <w:p>
            <w:pPr>
              <w:widowControl/>
              <w:spacing w:line="300" w:lineRule="exact"/>
              <w:rPr>
                <w:rFonts w:eastAsia="仿宋"/>
                <w:kern w:val="0"/>
                <w:szCs w:val="21"/>
              </w:rPr>
            </w:pPr>
            <w:r>
              <w:rPr>
                <w:rFonts w:eastAsia="仿宋"/>
                <w:kern w:val="0"/>
                <w:szCs w:val="21"/>
              </w:rPr>
              <w:t>（231）放射性废物应及时送交城市放射性废物库收贮；</w:t>
            </w:r>
          </w:p>
          <w:p>
            <w:pPr>
              <w:widowControl/>
              <w:spacing w:line="300" w:lineRule="exact"/>
              <w:rPr>
                <w:rFonts w:eastAsia="仿宋"/>
                <w:kern w:val="0"/>
                <w:szCs w:val="21"/>
              </w:rPr>
            </w:pPr>
            <w:r>
              <w:rPr>
                <w:rFonts w:eastAsia="仿宋"/>
                <w:kern w:val="0"/>
                <w:szCs w:val="21"/>
              </w:rPr>
              <w:t>（232）排放气态或液态放射性流出物应严格按照环评和地方生态环境部门批准的排放量和排放方式执行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eastAsia="仿宋"/>
                <w:kern w:val="0"/>
                <w:szCs w:val="21"/>
              </w:rPr>
              <w:t>（233）查看电子或纸质台账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（234）大型仪器设备、高功率的设备与电路容量相匹配，有设备运行维护的记录，有安全操作规程或注意事项</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（235）仪器设备接地系统应按规范要求，采用铜质材料，接地电阻不高于0.5欧；</w:t>
            </w:r>
          </w:p>
          <w:p>
            <w:pPr>
              <w:widowControl/>
              <w:spacing w:line="300" w:lineRule="exact"/>
              <w:rPr>
                <w:rFonts w:eastAsia="仿宋"/>
                <w:kern w:val="0"/>
                <w:szCs w:val="21"/>
              </w:rPr>
            </w:pPr>
            <w:r>
              <w:rPr>
                <w:rFonts w:eastAsia="仿宋"/>
                <w:szCs w:val="21"/>
              </w:rPr>
              <w:t>（236）电脑、空调、电加热器等不随意开机过夜。</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pPr>
              <w:widowControl/>
              <w:spacing w:line="300" w:lineRule="exact"/>
              <w:rPr>
                <w:rFonts w:eastAsia="仿宋"/>
                <w:szCs w:val="21"/>
              </w:rPr>
            </w:pPr>
            <w:r>
              <w:rPr>
                <w:rFonts w:eastAsia="仿宋"/>
                <w:kern w:val="0"/>
                <w:szCs w:val="21"/>
              </w:rPr>
              <w:t>（237）关注高温、高压、高速运动、电磁辐射等特殊设备，对使用者有培训要求，有安全警示标识和</w:t>
            </w:r>
            <w:r>
              <w:rPr>
                <w:rFonts w:eastAsia="仿宋"/>
                <w:szCs w:val="21"/>
              </w:rPr>
              <w:t>安全警示线（黄色），设备安全防护措施完好；</w:t>
            </w:r>
          </w:p>
          <w:p>
            <w:pPr>
              <w:widowControl/>
              <w:spacing w:line="300" w:lineRule="exact"/>
              <w:rPr>
                <w:rFonts w:eastAsia="仿宋"/>
                <w:bCs/>
                <w:kern w:val="0"/>
                <w:szCs w:val="21"/>
              </w:rPr>
            </w:pPr>
            <w:r>
              <w:rPr>
                <w:rFonts w:eastAsia="仿宋"/>
                <w:szCs w:val="21"/>
              </w:rPr>
              <w:t>（238）</w:t>
            </w:r>
            <w:r>
              <w:rPr>
                <w:rFonts w:eastAsia="仿宋"/>
                <w:kern w:val="0"/>
                <w:szCs w:val="21"/>
              </w:rPr>
              <w:t>自研自制设备，须充分考虑安全系数，并有安全防护措施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（239）机床应保持清洁整齐，严禁在床头、床面、刀架上放置物品；</w:t>
            </w:r>
          </w:p>
          <w:p>
            <w:pPr>
              <w:widowControl/>
              <w:spacing w:line="300" w:lineRule="exact"/>
              <w:rPr>
                <w:rFonts w:eastAsia="仿宋"/>
                <w:kern w:val="0"/>
                <w:szCs w:val="21"/>
              </w:rPr>
            </w:pPr>
            <w:r>
              <w:rPr>
                <w:rFonts w:eastAsia="仿宋"/>
                <w:kern w:val="0"/>
                <w:szCs w:val="21"/>
              </w:rPr>
              <w:t>（240）机械设备可靠接地，实验结束后，应切断电源，整理好场地并将实验用具等摆放整齐，及时清理机械设备产生的废渣、废屑</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pPr>
              <w:rPr>
                <w:rFonts w:eastAsia="仿宋"/>
                <w:kern w:val="0"/>
              </w:rPr>
            </w:pPr>
            <w:r>
              <w:rPr>
                <w:rFonts w:eastAsia="仿宋"/>
                <w:kern w:val="0"/>
              </w:rPr>
              <w:t>（241）个人防护用品要穿戴齐全，如工作服、工作帽、工作鞋、防护眼镜等。操作冷加工设备必须穿“三紧式”工作服，不能留长发（长发要盘在工作帽内），禁止戴手套；</w:t>
            </w:r>
          </w:p>
          <w:p>
            <w:pPr>
              <w:rPr>
                <w:rFonts w:eastAsia="仿宋"/>
                <w:kern w:val="0"/>
                <w:szCs w:val="21"/>
              </w:rPr>
            </w:pPr>
            <w:r>
              <w:rPr>
                <w:rFonts w:eastAsia="仿宋"/>
                <w:kern w:val="0"/>
              </w:rPr>
              <w:t>（242）</w:t>
            </w:r>
            <w:r>
              <w:rPr>
                <w:rFonts w:eastAsia="仿宋"/>
                <w:kern w:val="0"/>
                <w:szCs w:val="21"/>
              </w:rPr>
              <w:t>进入高速切削机械操作工作场所，穿好工作服工作鞋、戴好防护眼镜、扣紧衣袖口、</w:t>
            </w:r>
            <w:r>
              <w:rPr>
                <w:rFonts w:eastAsia="仿宋"/>
                <w:kern w:val="0"/>
              </w:rPr>
              <w:t>，</w:t>
            </w:r>
            <w:r>
              <w:rPr>
                <w:rFonts w:eastAsia="仿宋"/>
                <w:kern w:val="0"/>
                <w:szCs w:val="21"/>
              </w:rPr>
              <w:t>戴好工作帽（长发学生</w:t>
            </w:r>
            <w:r>
              <w:rPr>
                <w:rFonts w:eastAsia="仿宋"/>
                <w:kern w:val="0"/>
              </w:rPr>
              <w:t>必须将长发盘在工作帽内</w:t>
            </w:r>
            <w:r>
              <w:rPr>
                <w:rFonts w:eastAsia="仿宋"/>
                <w:kern w:val="0"/>
                <w:szCs w:val="21"/>
              </w:rPr>
              <w:t>），禁止戴手套、长围巾、领带、手镯等配饰物，禁穿拖鞋、高跟鞋等。设备运转时严禁用手调整工件</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（243）铸造实验场地宽敞、通道畅通，使用设备前，操作者要按要求穿戴好防护用品；</w:t>
            </w:r>
          </w:p>
          <w:p>
            <w:pPr>
              <w:widowControl/>
              <w:spacing w:line="300" w:lineRule="exact"/>
              <w:rPr>
                <w:rFonts w:eastAsia="仿宋"/>
                <w:kern w:val="0"/>
                <w:szCs w:val="21"/>
              </w:rPr>
            </w:pPr>
            <w:r>
              <w:rPr>
                <w:rFonts w:eastAsia="仿宋"/>
                <w:kern w:val="0"/>
                <w:szCs w:val="21"/>
              </w:rPr>
              <w:t>（244）盐浴炉加热零件必须预先烘干，并用铁丝绑牢，缓慢放入炉中，以防盐液炸崩烫伤；</w:t>
            </w:r>
          </w:p>
          <w:p>
            <w:pPr>
              <w:widowControl/>
              <w:spacing w:line="300" w:lineRule="exact"/>
              <w:rPr>
                <w:rFonts w:eastAsia="仿宋"/>
                <w:kern w:val="0"/>
                <w:szCs w:val="21"/>
              </w:rPr>
            </w:pPr>
            <w:r>
              <w:rPr>
                <w:rFonts w:eastAsia="仿宋"/>
                <w:kern w:val="0"/>
                <w:szCs w:val="21"/>
              </w:rPr>
              <w:t>（245）淬火油槽不得有水，油量不能过少，以免发生火灾；</w:t>
            </w:r>
          </w:p>
          <w:p>
            <w:pPr>
              <w:widowControl/>
              <w:spacing w:line="300" w:lineRule="exact"/>
              <w:rPr>
                <w:rFonts w:eastAsia="仿宋"/>
                <w:kern w:val="0"/>
                <w:szCs w:val="21"/>
              </w:rPr>
            </w:pPr>
            <w:r>
              <w:rPr>
                <w:rFonts w:eastAsia="仿宋"/>
                <w:kern w:val="0"/>
                <w:szCs w:val="21"/>
              </w:rPr>
              <w:t>（246）与铁水接触的一切工具，使用前必须加热，严禁将冷的工具伸入铁水内，以免引起爆炸；</w:t>
            </w:r>
          </w:p>
          <w:p>
            <w:pPr>
              <w:widowControl/>
              <w:spacing w:line="300" w:lineRule="exact"/>
              <w:rPr>
                <w:rFonts w:eastAsia="仿宋"/>
                <w:b/>
                <w:bCs/>
                <w:kern w:val="0"/>
                <w:szCs w:val="21"/>
              </w:rPr>
            </w:pPr>
            <w:r>
              <w:rPr>
                <w:rFonts w:eastAsia="仿宋"/>
                <w:kern w:val="0"/>
                <w:szCs w:val="21"/>
              </w:rPr>
              <w:t xml:space="preserve">（247）锻压设备不得空打或大力敲打过薄锻件，锻造时锻件应达到850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（248）在坠落高度基准面2米及以上有可能坠落的高处进行作业，须穿防滑鞋、佩戴安全帽、使用安全带；</w:t>
            </w:r>
          </w:p>
          <w:p>
            <w:pPr>
              <w:widowControl/>
              <w:spacing w:line="300" w:lineRule="exact"/>
              <w:rPr>
                <w:rFonts w:eastAsia="仿宋"/>
                <w:kern w:val="0"/>
                <w:szCs w:val="21"/>
              </w:rPr>
            </w:pPr>
            <w:r>
              <w:rPr>
                <w:rFonts w:eastAsia="仿宋"/>
                <w:kern w:val="0"/>
                <w:szCs w:val="21"/>
              </w:rPr>
              <w:t>（249）临边作业须在临空一侧设置防护栏杆，有相关安全操作规程</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eastAsia="仿宋"/>
                <w:kern w:val="0"/>
                <w:szCs w:val="21"/>
              </w:rPr>
              <w:t>（250）各种电器设备及电线应始终保持干燥，防止浸湿，以防短路引起火灾或烧坏电气设备；</w:t>
            </w:r>
          </w:p>
          <w:p>
            <w:pPr>
              <w:widowControl/>
              <w:tabs>
                <w:tab w:val="left" w:pos="4321"/>
              </w:tabs>
              <w:spacing w:line="300" w:lineRule="exact"/>
              <w:rPr>
                <w:rFonts w:eastAsia="仿宋"/>
                <w:szCs w:val="21"/>
              </w:rPr>
            </w:pPr>
            <w:r>
              <w:rPr>
                <w:rFonts w:eastAsia="仿宋"/>
                <w:kern w:val="0"/>
                <w:szCs w:val="21"/>
              </w:rPr>
              <w:t>（251）</w:t>
            </w:r>
            <w:r>
              <w:rPr>
                <w:rFonts w:eastAsia="仿宋"/>
                <w:szCs w:val="21"/>
              </w:rPr>
              <w:t>试验室内的功能间墙面都应设有专用接地母排，并设有多点接地引出端；</w:t>
            </w:r>
          </w:p>
          <w:p>
            <w:pPr>
              <w:widowControl/>
              <w:tabs>
                <w:tab w:val="left" w:pos="4321"/>
              </w:tabs>
              <w:spacing w:line="300" w:lineRule="exact"/>
              <w:rPr>
                <w:rFonts w:eastAsia="仿宋"/>
                <w:kern w:val="0"/>
                <w:szCs w:val="21"/>
              </w:rPr>
            </w:pPr>
            <w:r>
              <w:rPr>
                <w:rFonts w:eastAsia="仿宋"/>
                <w:szCs w:val="21"/>
              </w:rPr>
              <w:t>（252）高压、大电流等强电实验室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高度不低于2米</w:t>
            </w:r>
            <w:r>
              <w:rPr>
                <w:rFonts w:eastAsia="仿宋"/>
                <w:kern w:val="0"/>
                <w:szCs w:val="21"/>
              </w:rPr>
              <w:t>）；</w:t>
            </w:r>
          </w:p>
          <w:p>
            <w:pPr>
              <w:widowControl/>
              <w:tabs>
                <w:tab w:val="left" w:pos="4321"/>
              </w:tabs>
              <w:spacing w:line="300" w:lineRule="exact"/>
              <w:rPr>
                <w:rFonts w:eastAsia="仿宋"/>
                <w:kern w:val="0"/>
                <w:szCs w:val="21"/>
              </w:rPr>
            </w:pPr>
            <w:r>
              <w:rPr>
                <w:rFonts w:eastAsia="仿宋"/>
                <w:kern w:val="0"/>
                <w:szCs w:val="21"/>
              </w:rPr>
              <w:t>（253）控制室（控制台）应铺橡胶、绝缘垫等；</w:t>
            </w:r>
          </w:p>
          <w:p>
            <w:pPr>
              <w:widowControl/>
              <w:tabs>
                <w:tab w:val="left" w:pos="4321"/>
              </w:tabs>
              <w:spacing w:line="300" w:lineRule="exact"/>
              <w:rPr>
                <w:rFonts w:eastAsia="仿宋"/>
                <w:szCs w:val="21"/>
              </w:rPr>
            </w:pPr>
            <w:r>
              <w:rPr>
                <w:rFonts w:eastAsia="仿宋"/>
                <w:kern w:val="0"/>
                <w:szCs w:val="21"/>
              </w:rPr>
              <w:t>（254）</w:t>
            </w:r>
            <w:r>
              <w:rPr>
                <w:rFonts w:eastAsia="仿宋"/>
                <w:szCs w:val="21"/>
              </w:rPr>
              <w:t>强电实验室禁止存放易燃、易爆、易腐品，保持通风散热；</w:t>
            </w:r>
          </w:p>
          <w:p>
            <w:pPr>
              <w:widowControl/>
              <w:tabs>
                <w:tab w:val="left" w:pos="4321"/>
              </w:tabs>
              <w:spacing w:line="300" w:lineRule="exact"/>
              <w:rPr>
                <w:rFonts w:eastAsia="仿宋"/>
                <w:szCs w:val="21"/>
              </w:rPr>
            </w:pPr>
            <w:r>
              <w:rPr>
                <w:rFonts w:eastAsia="仿宋"/>
                <w:szCs w:val="21"/>
              </w:rPr>
              <w:t>（255）应为设备配备残余电流泄放专用的接地系统；</w:t>
            </w:r>
          </w:p>
          <w:p>
            <w:pPr>
              <w:widowControl/>
              <w:tabs>
                <w:tab w:val="left" w:pos="4321"/>
              </w:tabs>
              <w:spacing w:line="300" w:lineRule="exact"/>
              <w:rPr>
                <w:rFonts w:eastAsia="仿宋"/>
                <w:szCs w:val="21"/>
              </w:rPr>
            </w:pPr>
            <w:r>
              <w:rPr>
                <w:rFonts w:eastAsia="仿宋"/>
                <w:szCs w:val="21"/>
              </w:rPr>
              <w:t>（256）禁止在有可燃气体泄露隐患的环境中使用电动工具；电烙铁有专门搁架，用毕立即切断电源；</w:t>
            </w:r>
          </w:p>
          <w:p>
            <w:pPr>
              <w:widowControl/>
              <w:tabs>
                <w:tab w:val="left" w:pos="4321"/>
              </w:tabs>
              <w:spacing w:line="300" w:lineRule="exact"/>
              <w:rPr>
                <w:rFonts w:eastAsia="仿宋"/>
                <w:kern w:val="0"/>
                <w:szCs w:val="21"/>
              </w:rPr>
            </w:pPr>
            <w:r>
              <w:rPr>
                <w:rFonts w:eastAsia="仿宋"/>
                <w:szCs w:val="21"/>
              </w:rPr>
              <w:t>（257）强磁设备应配备与大地相连的金属屏蔽网</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（258）强电类实验必须二人（含）以上，操作时应戴绝缘手套；防护器具按规定进行周期试验或定期更换；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（259）功率较大的激光器有互锁装置、防护罩，激光照射方向不会对他人造成伤害，防止激光发射口及反射镜上扬</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（260）操作人员穿戴防护眼镜等防护用品、不带手表等能反光的物品，</w:t>
            </w:r>
            <w:r>
              <w:rPr>
                <w:rFonts w:eastAsia="仿宋"/>
                <w:szCs w:val="21"/>
                <w:shd w:val="clear" w:color="auto" w:fill="FFFFFF"/>
              </w:rPr>
              <w:t>禁止直视激光束和它的反向光束，禁止对激光器件做任何目视准直操作，</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（261）所有激光区域内张贴警告标识</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（262）防爆灯、防爆电气开关，导线敷设应选用镀锌管或水煤气管，必须达到整体防爆要求；</w:t>
            </w:r>
          </w:p>
          <w:p>
            <w:pPr>
              <w:widowControl/>
              <w:spacing w:line="300" w:lineRule="exact"/>
              <w:rPr>
                <w:rFonts w:eastAsia="仿宋"/>
                <w:bCs/>
                <w:kern w:val="0"/>
                <w:szCs w:val="21"/>
              </w:rPr>
            </w:pPr>
            <w:r>
              <w:rPr>
                <w:rFonts w:eastAsia="仿宋"/>
                <w:kern w:val="0"/>
                <w:szCs w:val="21"/>
              </w:rPr>
              <w:t>（263）粉尘加工要有除尘装置，除尘器符合防静电安全要求，除尘设施应有阻爆、隔爆、泄爆装置，使用工具具有防爆功能或不产生火花</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pPr>
              <w:rPr>
                <w:rFonts w:eastAsia="仿宋"/>
                <w:bCs/>
                <w:kern w:val="0"/>
                <w:szCs w:val="21"/>
              </w:rPr>
            </w:pPr>
            <w:r>
              <w:rPr>
                <w:rFonts w:eastAsia="仿宋"/>
                <w:kern w:val="0"/>
              </w:rPr>
              <w:t>（264）粉尘爆炸危险场所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 xml:space="preserve">（265）粉尘浓度较高的场所，适当配备加湿装置；配备合适的灭火装置 </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266）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eastAsia="仿宋"/>
                <w:kern w:val="0"/>
                <w:szCs w:val="21"/>
              </w:rPr>
              <w:t>（267）起重机指挥、起重机司机须取得《特种设备作业人员证》，持证上岗，并每4年复审一次；</w:t>
            </w:r>
          </w:p>
          <w:p>
            <w:pPr>
              <w:rPr>
                <w:rFonts w:eastAsia="仿宋"/>
                <w:kern w:val="0"/>
                <w:szCs w:val="21"/>
              </w:rPr>
            </w:pPr>
            <w:r>
              <w:rPr>
                <w:rFonts w:eastAsia="仿宋"/>
                <w:kern w:val="0"/>
                <w:szCs w:val="21"/>
              </w:rPr>
              <w:t>（268）委托有资质单位进行定期检验，并将定期检验合格证置于特种设备显著位置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（269）在用起重机械至少每月进行一次日常维护保养和自行检查，并作记录；</w:t>
            </w:r>
          </w:p>
          <w:p>
            <w:pPr>
              <w:widowControl/>
              <w:spacing w:line="300" w:lineRule="exact"/>
              <w:rPr>
                <w:rFonts w:eastAsia="仿宋"/>
                <w:kern w:val="0"/>
                <w:szCs w:val="21"/>
              </w:rPr>
            </w:pPr>
            <w:r>
              <w:rPr>
                <w:rFonts w:eastAsia="仿宋"/>
                <w:kern w:val="0"/>
                <w:szCs w:val="21"/>
              </w:rPr>
              <w:t>（270）制定安全操作规程，并在周边醒目位置张贴警示标识，有必要的防护措施；（271）起重设备声光报警正常，室内起重设备应标有运行通道；</w:t>
            </w:r>
          </w:p>
          <w:p>
            <w:pPr>
              <w:widowControl/>
              <w:spacing w:line="300" w:lineRule="exact"/>
              <w:rPr>
                <w:rFonts w:eastAsia="仿宋"/>
                <w:b/>
                <w:bCs/>
                <w:kern w:val="0"/>
                <w:szCs w:val="21"/>
              </w:rPr>
            </w:pPr>
            <w:r>
              <w:rPr>
                <w:rFonts w:eastAsia="仿宋"/>
                <w:kern w:val="0"/>
                <w:szCs w:val="21"/>
              </w:rPr>
              <w:t>（272）废弃不用的起重机械应及时拆除</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pPr>
              <w:rPr>
                <w:rFonts w:eastAsia="仿宋"/>
                <w:kern w:val="0"/>
                <w:szCs w:val="21"/>
              </w:rPr>
            </w:pPr>
            <w:r>
              <w:rPr>
                <w:rFonts w:eastAsia="仿宋"/>
                <w:kern w:val="0"/>
                <w:szCs w:val="21"/>
              </w:rPr>
              <w:t>（273）最高工作压力大于或者等于0.1MPa（表压）的气体、液化气体和最高工作温度高于或者等于标准沸点的液体、容积大于或者等于30L且内直径（非圆形截面指截面内边界最大几何尺寸）大于或者等于150mm的固定式容器和移动式容器；盛装公称工作压力大于或者等于0.2MPa（表压），且压力与容积的乘积大于或者等于1.0MPa</w:t>
            </w:r>
            <w:r>
              <w:rPr>
                <w:rFonts w:eastAsia="微软雅黑"/>
                <w:kern w:val="0"/>
                <w:szCs w:val="21"/>
              </w:rPr>
              <w:t>•</w:t>
            </w:r>
            <w:r>
              <w:rPr>
                <w:rFonts w:eastAsia="仿宋"/>
                <w:kern w:val="0"/>
                <w:szCs w:val="21"/>
              </w:rPr>
              <w:t>L的气体、液化气体和标准沸点等于或者低于60℃液体的气瓶；氧舱等盛装气体或者液体，承载一定压力的密闭设备，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pPr>
              <w:widowControl/>
              <w:rPr>
                <w:rFonts w:eastAsia="仿宋"/>
                <w:kern w:val="0"/>
                <w:szCs w:val="21"/>
              </w:rPr>
            </w:pPr>
            <w:r>
              <w:rPr>
                <w:rFonts w:eastAsia="仿宋"/>
                <w:kern w:val="0"/>
              </w:rPr>
              <w:t>（274）快开门式压力容器操作人员、移动式压力容器充装人员、氧舱维护保养人员，</w:t>
            </w:r>
            <w:r>
              <w:rPr>
                <w:rFonts w:eastAsia="仿宋"/>
                <w:kern w:val="0"/>
                <w:szCs w:val="21"/>
              </w:rPr>
              <w:t>取得《特种设备作业人员证》，持证上岗，并每4年复审一次；</w:t>
            </w:r>
          </w:p>
          <w:p>
            <w:pPr>
              <w:widowControl/>
              <w:rPr>
                <w:rFonts w:eastAsia="仿宋"/>
                <w:kern w:val="0"/>
                <w:szCs w:val="21"/>
              </w:rPr>
            </w:pPr>
            <w:r>
              <w:rPr>
                <w:rFonts w:eastAsia="仿宋"/>
                <w:kern w:val="0"/>
                <w:szCs w:val="21"/>
              </w:rPr>
              <w:t>（275）委托有资质单位进行定期检验，并将定期检验合格证置于特种设备显著位置；</w:t>
            </w:r>
          </w:p>
          <w:p>
            <w:pPr>
              <w:widowControl/>
              <w:rPr>
                <w:rFonts w:eastAsia="仿宋"/>
                <w:kern w:val="0"/>
                <w:szCs w:val="21"/>
              </w:rPr>
            </w:pPr>
            <w:r>
              <w:rPr>
                <w:rFonts w:eastAsia="仿宋"/>
                <w:kern w:val="0"/>
                <w:szCs w:val="21"/>
              </w:rPr>
              <w:t>（276）安全阀或压力表等附件需委托有资质单位定期校验或检定</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（277）大型实验气罐的存储场所应通风、干燥、防止雨（雪）淋、水浸，避免阳光直射，严禁明火和其他热源；</w:t>
            </w:r>
          </w:p>
          <w:p>
            <w:pPr>
              <w:widowControl/>
              <w:spacing w:line="300" w:lineRule="exact"/>
              <w:rPr>
                <w:rFonts w:eastAsia="仿宋"/>
                <w:kern w:val="0"/>
                <w:szCs w:val="21"/>
              </w:rPr>
            </w:pPr>
            <w:r>
              <w:rPr>
                <w:rFonts w:eastAsia="仿宋"/>
                <w:kern w:val="0"/>
                <w:szCs w:val="21"/>
              </w:rPr>
              <w:t>（278）大型实验气体（窒息、可燃类）罐必须放置在室外，周围设置隔离装置、安全警示标识；</w:t>
            </w:r>
          </w:p>
          <w:p>
            <w:pPr>
              <w:widowControl/>
              <w:spacing w:line="300" w:lineRule="exact"/>
              <w:rPr>
                <w:rFonts w:eastAsia="仿宋"/>
                <w:bCs/>
                <w:kern w:val="0"/>
                <w:szCs w:val="21"/>
              </w:rPr>
            </w:pPr>
            <w:r>
              <w:rPr>
                <w:rFonts w:eastAsia="仿宋"/>
                <w:kern w:val="0"/>
                <w:szCs w:val="21"/>
              </w:rPr>
              <w:t>（279）可燃性气罐要远离火源热源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（280）容器的电器开关和熔断器都应设置在明显位置，同时应设避雷装置；</w:t>
            </w:r>
          </w:p>
          <w:p>
            <w:pPr>
              <w:widowControl/>
              <w:spacing w:line="300" w:lineRule="exact"/>
              <w:rPr>
                <w:rFonts w:eastAsia="仿宋"/>
                <w:kern w:val="0"/>
                <w:szCs w:val="21"/>
              </w:rPr>
            </w:pPr>
            <w:r>
              <w:rPr>
                <w:rFonts w:eastAsia="仿宋"/>
                <w:kern w:val="0"/>
                <w:szCs w:val="21"/>
              </w:rPr>
              <w:t>（281）电气设施应防爆，避雷装置接地良好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pPr>
              <w:spacing w:line="300" w:lineRule="exact"/>
              <w:rPr>
                <w:rFonts w:eastAsia="仿宋"/>
                <w:kern w:val="0"/>
                <w:szCs w:val="21"/>
              </w:rPr>
            </w:pPr>
            <w:r>
              <w:rPr>
                <w:rFonts w:eastAsia="仿宋"/>
                <w:kern w:val="0"/>
                <w:szCs w:val="21"/>
              </w:rPr>
              <w:t>（282）制定大型气罐管理制度和操作规程，定期检查大型实验气罐外观及附件是否完好，落实维护、保养及安全责任制；</w:t>
            </w:r>
          </w:p>
          <w:p>
            <w:pPr>
              <w:spacing w:line="300" w:lineRule="exact"/>
              <w:rPr>
                <w:rFonts w:eastAsia="仿宋"/>
                <w:kern w:val="0"/>
                <w:szCs w:val="21"/>
              </w:rPr>
            </w:pPr>
            <w:r>
              <w:rPr>
                <w:rFonts w:eastAsia="仿宋"/>
                <w:kern w:val="0"/>
                <w:szCs w:val="21"/>
              </w:rPr>
              <w:t>（283）实行使用登记制度，及时填写使用登记表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（284）除道路交通、农用车辆以外仅在工厂厂区、旅游景区、游乐场所等特定区域使用的专用机动车辆须取得《特种设备使用登记证》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pPr>
              <w:rPr>
                <w:rFonts w:eastAsia="仿宋"/>
                <w:b/>
                <w:bCs/>
                <w:kern w:val="0"/>
                <w:szCs w:val="21"/>
              </w:rPr>
            </w:pPr>
            <w:r>
              <w:rPr>
                <w:rFonts w:eastAsia="仿宋"/>
                <w:kern w:val="0"/>
                <w:szCs w:val="21"/>
              </w:rPr>
              <w:t>（285）作业人员的《特种设备作业人员证》在有效期内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（286）合格证在有效期内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（287）贮存危险化学品的冰箱应为防爆冰箱或经过防爆改造的冰箱，并在冰箱门上注明是否防爆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（288）标识至少包括：名称、使用人、日期等，并经常清理；</w:t>
            </w:r>
          </w:p>
          <w:p>
            <w:pPr>
              <w:widowControl/>
              <w:spacing w:line="300" w:lineRule="exact"/>
              <w:rPr>
                <w:rFonts w:eastAsia="仿宋"/>
                <w:kern w:val="0"/>
                <w:szCs w:val="21"/>
              </w:rPr>
            </w:pPr>
            <w:r>
              <w:rPr>
                <w:rFonts w:eastAsia="仿宋"/>
                <w:kern w:val="0"/>
                <w:szCs w:val="21"/>
              </w:rPr>
              <w:t>（289）实验室冰箱中试剂瓶螺口拧紧，无开口容器，不得放置非实验用食品、药品。超低温冰箱门上有储物分区标识，置于走廊等区域的超低温冰箱须上锁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（290）冰箱不超期使用（一般使用期限控制为10年），如超期使用需经审批；</w:t>
            </w:r>
          </w:p>
          <w:p>
            <w:pPr>
              <w:widowControl/>
              <w:spacing w:line="300" w:lineRule="exact"/>
              <w:rPr>
                <w:rFonts w:eastAsia="仿宋"/>
                <w:kern w:val="0"/>
                <w:szCs w:val="21"/>
              </w:rPr>
            </w:pPr>
            <w:r>
              <w:rPr>
                <w:rFonts w:eastAsia="仿宋"/>
                <w:kern w:val="0"/>
                <w:szCs w:val="21"/>
              </w:rPr>
              <w:t>（291）冰箱周围留出足够空间，周围不堆放杂物，不影响散热；</w:t>
            </w:r>
          </w:p>
          <w:p>
            <w:pPr>
              <w:widowControl/>
              <w:spacing w:line="300" w:lineRule="exact"/>
              <w:rPr>
                <w:rFonts w:eastAsia="仿宋"/>
                <w:kern w:val="0"/>
                <w:szCs w:val="21"/>
              </w:rPr>
            </w:pPr>
            <w:r>
              <w:rPr>
                <w:rFonts w:eastAsia="仿宋"/>
                <w:kern w:val="0"/>
                <w:szCs w:val="21"/>
              </w:rPr>
              <w:t>（292）烘箱、电阻炉不超期使用（一般使用期限控制为12年），如超期使用需经审批；</w:t>
            </w:r>
          </w:p>
          <w:p>
            <w:pPr>
              <w:widowControl/>
              <w:spacing w:line="300" w:lineRule="exact"/>
              <w:rPr>
                <w:rFonts w:eastAsia="仿宋"/>
                <w:kern w:val="0"/>
                <w:szCs w:val="21"/>
              </w:rPr>
            </w:pPr>
            <w:r>
              <w:rPr>
                <w:rFonts w:eastAsia="仿宋"/>
                <w:kern w:val="0"/>
                <w:szCs w:val="21"/>
              </w:rPr>
              <w:t>（293）加热设备应放置在通风干燥处，不直接放置在木桌、木板等易燃物品上，周围有一定的散热空间，设备旁不能放置易燃易爆化学品、气体钢瓶、冰箱、杂物等，应远离配电箱、插座、接线板等设备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（294）加热设备周边醒目位置张贴有高温警示标识，并有必要的防护措施，张贴有安全操作规程、警示标识；</w:t>
            </w:r>
          </w:p>
          <w:p>
            <w:pPr>
              <w:widowControl/>
              <w:spacing w:line="300" w:lineRule="exact"/>
              <w:rPr>
                <w:rFonts w:eastAsia="仿宋"/>
                <w:kern w:val="0"/>
                <w:szCs w:val="21"/>
              </w:rPr>
            </w:pPr>
            <w:r>
              <w:rPr>
                <w:rFonts w:eastAsia="仿宋"/>
                <w:kern w:val="0"/>
                <w:szCs w:val="21"/>
              </w:rPr>
              <w:t>（295）烘箱等加热设备内不准烘烤易燃易爆试剂及易燃物品；</w:t>
            </w:r>
          </w:p>
          <w:p>
            <w:pPr>
              <w:widowControl/>
              <w:spacing w:line="300" w:lineRule="exact"/>
              <w:rPr>
                <w:rFonts w:eastAsia="仿宋"/>
                <w:kern w:val="0"/>
                <w:szCs w:val="21"/>
              </w:rPr>
            </w:pPr>
            <w:r>
              <w:rPr>
                <w:rFonts w:eastAsia="仿宋"/>
                <w:kern w:val="0"/>
                <w:szCs w:val="21"/>
              </w:rPr>
              <w:t>（296）不得使用塑料筐等易燃容器盛放实验物品在烘箱等加热设备内烘烤；</w:t>
            </w:r>
          </w:p>
          <w:p>
            <w:pPr>
              <w:widowControl/>
              <w:spacing w:line="300" w:lineRule="exact"/>
              <w:rPr>
                <w:rFonts w:eastAsia="仿宋"/>
                <w:kern w:val="0"/>
                <w:szCs w:val="21"/>
              </w:rPr>
            </w:pPr>
            <w:r>
              <w:rPr>
                <w:rFonts w:eastAsia="仿宋"/>
                <w:kern w:val="0"/>
                <w:szCs w:val="21"/>
              </w:rPr>
              <w:t>（297）使用烘箱完毕，清理物品、切断电源，确认其冷却至安全温度后方能离开；（298）使用电阻炉等明火设备时有人值守；</w:t>
            </w:r>
          </w:p>
          <w:p>
            <w:pPr>
              <w:widowControl/>
              <w:spacing w:line="300" w:lineRule="exact"/>
              <w:rPr>
                <w:rFonts w:eastAsia="仿宋"/>
                <w:kern w:val="0"/>
                <w:szCs w:val="21"/>
              </w:rPr>
            </w:pPr>
            <w:r>
              <w:rPr>
                <w:rFonts w:eastAsia="仿宋"/>
                <w:kern w:val="0"/>
                <w:szCs w:val="21"/>
              </w:rPr>
              <w:t>（299）使用加热设备时，温度较高的实验需有人值守或有实时监控措施</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（300）涉及化学品的实验室不使用明火电炉。如必须使用，须有安全防范措施；</w:t>
            </w:r>
          </w:p>
          <w:p>
            <w:pPr>
              <w:widowControl/>
              <w:spacing w:line="300" w:lineRule="exact"/>
              <w:rPr>
                <w:rFonts w:eastAsia="仿宋"/>
                <w:kern w:val="0"/>
                <w:szCs w:val="21"/>
              </w:rPr>
            </w:pPr>
            <w:r>
              <w:rPr>
                <w:rFonts w:eastAsia="仿宋"/>
                <w:kern w:val="0"/>
                <w:szCs w:val="21"/>
              </w:rPr>
              <w:t>（301）不使用明火电炉加热易燃易爆试剂；</w:t>
            </w:r>
          </w:p>
          <w:p>
            <w:pPr>
              <w:widowControl/>
              <w:spacing w:line="300" w:lineRule="exact"/>
              <w:rPr>
                <w:rFonts w:eastAsia="仿宋"/>
                <w:kern w:val="0"/>
                <w:szCs w:val="21"/>
              </w:rPr>
            </w:pPr>
            <w:r>
              <w:rPr>
                <w:rFonts w:eastAsia="仿宋"/>
                <w:kern w:val="0"/>
                <w:szCs w:val="21"/>
              </w:rPr>
              <w:t>（302）明火电炉、电吹风、电热枪等用毕，须及时拔除电源插头；</w:t>
            </w:r>
          </w:p>
          <w:p>
            <w:pPr>
              <w:widowControl/>
              <w:spacing w:line="300" w:lineRule="exact"/>
              <w:rPr>
                <w:rFonts w:eastAsia="仿宋"/>
                <w:kern w:val="0"/>
                <w:szCs w:val="21"/>
              </w:rPr>
            </w:pPr>
            <w:r>
              <w:rPr>
                <w:rFonts w:eastAsia="仿宋"/>
                <w:kern w:val="0"/>
                <w:szCs w:val="21"/>
              </w:rPr>
              <w:t>（303）不可用纸质、木质等材料自制红外灯烘箱</w:t>
            </w:r>
          </w:p>
        </w:tc>
        <w:tc>
          <w:tcPr>
            <w:tcW w:w="2543"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after="156" w:afterLines="50" w:line="500" w:lineRule="exact"/>
        <w:jc w:val="center"/>
        <w:rPr>
          <w:rFonts w:eastAsia="黑体"/>
          <w:b/>
          <w:color w:val="000000" w:themeColor="text1"/>
          <w:sz w:val="36"/>
          <w:szCs w:val="30"/>
          <w14:textFill>
            <w14:solidFill>
              <w14:schemeClr w14:val="tx1"/>
            </w14:solidFill>
          </w14:textFill>
        </w:rPr>
      </w:pPr>
    </w:p>
    <w:sectPr>
      <w:footerReference r:id="rId3" w:type="default"/>
      <w:pgSz w:w="16838" w:h="11906" w:orient="landscape"/>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3"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15</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1A96"/>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4DDE"/>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1BCF"/>
    <w:rsid w:val="00113C6B"/>
    <w:rsid w:val="00114A79"/>
    <w:rsid w:val="00116813"/>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3FF"/>
    <w:rsid w:val="001938A3"/>
    <w:rsid w:val="00195F30"/>
    <w:rsid w:val="00196097"/>
    <w:rsid w:val="00196AD1"/>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0565"/>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0FB"/>
    <w:rsid w:val="00200A3D"/>
    <w:rsid w:val="00200C3C"/>
    <w:rsid w:val="00201399"/>
    <w:rsid w:val="0020295B"/>
    <w:rsid w:val="00202F43"/>
    <w:rsid w:val="0020357E"/>
    <w:rsid w:val="00203F70"/>
    <w:rsid w:val="00204B76"/>
    <w:rsid w:val="002060B3"/>
    <w:rsid w:val="00210B50"/>
    <w:rsid w:val="00212E79"/>
    <w:rsid w:val="002141F2"/>
    <w:rsid w:val="002146ED"/>
    <w:rsid w:val="00214CA3"/>
    <w:rsid w:val="00215E78"/>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056"/>
    <w:rsid w:val="00250BDC"/>
    <w:rsid w:val="00251B41"/>
    <w:rsid w:val="002542FD"/>
    <w:rsid w:val="002543F0"/>
    <w:rsid w:val="00255794"/>
    <w:rsid w:val="002557C1"/>
    <w:rsid w:val="00255C8C"/>
    <w:rsid w:val="00255D52"/>
    <w:rsid w:val="00260336"/>
    <w:rsid w:val="00260852"/>
    <w:rsid w:val="002612E4"/>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3896"/>
    <w:rsid w:val="00294CFE"/>
    <w:rsid w:val="00296302"/>
    <w:rsid w:val="00296791"/>
    <w:rsid w:val="00297386"/>
    <w:rsid w:val="002A0679"/>
    <w:rsid w:val="002A1F9C"/>
    <w:rsid w:val="002A2A2E"/>
    <w:rsid w:val="002A35AC"/>
    <w:rsid w:val="002A4A82"/>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AD0"/>
    <w:rsid w:val="00331BCE"/>
    <w:rsid w:val="00332136"/>
    <w:rsid w:val="003322B2"/>
    <w:rsid w:val="00333A97"/>
    <w:rsid w:val="00334E23"/>
    <w:rsid w:val="00342C08"/>
    <w:rsid w:val="00342FE5"/>
    <w:rsid w:val="0034383E"/>
    <w:rsid w:val="003438AF"/>
    <w:rsid w:val="00343CF3"/>
    <w:rsid w:val="00344710"/>
    <w:rsid w:val="003454BC"/>
    <w:rsid w:val="0034616F"/>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57A83"/>
    <w:rsid w:val="00360DF8"/>
    <w:rsid w:val="00362357"/>
    <w:rsid w:val="003630AC"/>
    <w:rsid w:val="0036517E"/>
    <w:rsid w:val="00365B6D"/>
    <w:rsid w:val="00366172"/>
    <w:rsid w:val="0036735F"/>
    <w:rsid w:val="0036769E"/>
    <w:rsid w:val="003679EB"/>
    <w:rsid w:val="00367ADB"/>
    <w:rsid w:val="003732EA"/>
    <w:rsid w:val="00373C75"/>
    <w:rsid w:val="0037451F"/>
    <w:rsid w:val="00374E5E"/>
    <w:rsid w:val="003765A3"/>
    <w:rsid w:val="00376793"/>
    <w:rsid w:val="00376A6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356D"/>
    <w:rsid w:val="00394BF6"/>
    <w:rsid w:val="00394C01"/>
    <w:rsid w:val="003968EA"/>
    <w:rsid w:val="003979AA"/>
    <w:rsid w:val="003A07B3"/>
    <w:rsid w:val="003A108E"/>
    <w:rsid w:val="003A16FA"/>
    <w:rsid w:val="003A1BC1"/>
    <w:rsid w:val="003A2C70"/>
    <w:rsid w:val="003A2EEA"/>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4AF0"/>
    <w:rsid w:val="003D509D"/>
    <w:rsid w:val="003D5573"/>
    <w:rsid w:val="003D6177"/>
    <w:rsid w:val="003E49C0"/>
    <w:rsid w:val="003E581E"/>
    <w:rsid w:val="003E5997"/>
    <w:rsid w:val="003E6F3F"/>
    <w:rsid w:val="003E78ED"/>
    <w:rsid w:val="003E7D34"/>
    <w:rsid w:val="003F0EB3"/>
    <w:rsid w:val="003F1037"/>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5A3E"/>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4BFC"/>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1B76"/>
    <w:rsid w:val="004927BE"/>
    <w:rsid w:val="00492BE2"/>
    <w:rsid w:val="00494721"/>
    <w:rsid w:val="00494FEE"/>
    <w:rsid w:val="0049526A"/>
    <w:rsid w:val="00495560"/>
    <w:rsid w:val="00496321"/>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2336"/>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0D95"/>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440A"/>
    <w:rsid w:val="005F5A03"/>
    <w:rsid w:val="00600BF7"/>
    <w:rsid w:val="00601E84"/>
    <w:rsid w:val="006032C1"/>
    <w:rsid w:val="00603444"/>
    <w:rsid w:val="00605210"/>
    <w:rsid w:val="00605832"/>
    <w:rsid w:val="00607F9F"/>
    <w:rsid w:val="00613351"/>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103"/>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3E97"/>
    <w:rsid w:val="00716AF6"/>
    <w:rsid w:val="00716C06"/>
    <w:rsid w:val="00716D26"/>
    <w:rsid w:val="00716D56"/>
    <w:rsid w:val="00716FAC"/>
    <w:rsid w:val="00717380"/>
    <w:rsid w:val="00721008"/>
    <w:rsid w:val="00721C8D"/>
    <w:rsid w:val="007221F7"/>
    <w:rsid w:val="007224F5"/>
    <w:rsid w:val="00723BBC"/>
    <w:rsid w:val="0072401F"/>
    <w:rsid w:val="00724767"/>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371C1"/>
    <w:rsid w:val="00742807"/>
    <w:rsid w:val="0074335C"/>
    <w:rsid w:val="007452D6"/>
    <w:rsid w:val="0074668D"/>
    <w:rsid w:val="00750CE1"/>
    <w:rsid w:val="007524AB"/>
    <w:rsid w:val="007524B1"/>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1CB4"/>
    <w:rsid w:val="00813510"/>
    <w:rsid w:val="0081388E"/>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3B7"/>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05D2"/>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04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4994"/>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CE6"/>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4D"/>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A76"/>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07A9"/>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4E18"/>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3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578"/>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5B6"/>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131B"/>
    <w:rsid w:val="00B02C84"/>
    <w:rsid w:val="00B03465"/>
    <w:rsid w:val="00B0553F"/>
    <w:rsid w:val="00B06139"/>
    <w:rsid w:val="00B1169C"/>
    <w:rsid w:val="00B1195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050D"/>
    <w:rsid w:val="00B432A7"/>
    <w:rsid w:val="00B434B6"/>
    <w:rsid w:val="00B45003"/>
    <w:rsid w:val="00B45AB6"/>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1FB3"/>
    <w:rsid w:val="00B62983"/>
    <w:rsid w:val="00B62BAD"/>
    <w:rsid w:val="00B643F3"/>
    <w:rsid w:val="00B66B58"/>
    <w:rsid w:val="00B67872"/>
    <w:rsid w:val="00B678B1"/>
    <w:rsid w:val="00B67AED"/>
    <w:rsid w:val="00B67C2D"/>
    <w:rsid w:val="00B70890"/>
    <w:rsid w:val="00B714D5"/>
    <w:rsid w:val="00B71F47"/>
    <w:rsid w:val="00B72164"/>
    <w:rsid w:val="00B72773"/>
    <w:rsid w:val="00B751B9"/>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34C7"/>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38DD"/>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51A9"/>
    <w:rsid w:val="00D45705"/>
    <w:rsid w:val="00D474FF"/>
    <w:rsid w:val="00D47521"/>
    <w:rsid w:val="00D50079"/>
    <w:rsid w:val="00D50D3D"/>
    <w:rsid w:val="00D50DCB"/>
    <w:rsid w:val="00D51621"/>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0"/>
    <w:rsid w:val="00D73EA5"/>
    <w:rsid w:val="00D74383"/>
    <w:rsid w:val="00D75C75"/>
    <w:rsid w:val="00D76079"/>
    <w:rsid w:val="00D76810"/>
    <w:rsid w:val="00D76D93"/>
    <w:rsid w:val="00D814A0"/>
    <w:rsid w:val="00D84C7A"/>
    <w:rsid w:val="00D85DB8"/>
    <w:rsid w:val="00D87151"/>
    <w:rsid w:val="00D871E3"/>
    <w:rsid w:val="00D8726A"/>
    <w:rsid w:val="00D90202"/>
    <w:rsid w:val="00D90B5B"/>
    <w:rsid w:val="00D93302"/>
    <w:rsid w:val="00D96569"/>
    <w:rsid w:val="00D96E5B"/>
    <w:rsid w:val="00D970EC"/>
    <w:rsid w:val="00D97E7A"/>
    <w:rsid w:val="00DA0E04"/>
    <w:rsid w:val="00DA13D9"/>
    <w:rsid w:val="00DA2B39"/>
    <w:rsid w:val="00DA318B"/>
    <w:rsid w:val="00DA49ED"/>
    <w:rsid w:val="00DA5D6A"/>
    <w:rsid w:val="00DA75CF"/>
    <w:rsid w:val="00DB0151"/>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3A28"/>
    <w:rsid w:val="00DC5195"/>
    <w:rsid w:val="00DC5C5D"/>
    <w:rsid w:val="00DC5CBC"/>
    <w:rsid w:val="00DC62AC"/>
    <w:rsid w:val="00DC79E6"/>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3A4"/>
    <w:rsid w:val="00E23427"/>
    <w:rsid w:val="00E2568F"/>
    <w:rsid w:val="00E25986"/>
    <w:rsid w:val="00E25D4B"/>
    <w:rsid w:val="00E26834"/>
    <w:rsid w:val="00E307FF"/>
    <w:rsid w:val="00E30ADD"/>
    <w:rsid w:val="00E31861"/>
    <w:rsid w:val="00E33D31"/>
    <w:rsid w:val="00E342AC"/>
    <w:rsid w:val="00E34F76"/>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4E7"/>
    <w:rsid w:val="00E63A6C"/>
    <w:rsid w:val="00E63BE2"/>
    <w:rsid w:val="00E643C6"/>
    <w:rsid w:val="00E65ABA"/>
    <w:rsid w:val="00E6683F"/>
    <w:rsid w:val="00E670C3"/>
    <w:rsid w:val="00E671D4"/>
    <w:rsid w:val="00E67F3A"/>
    <w:rsid w:val="00E7198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8CC"/>
    <w:rsid w:val="00F32A52"/>
    <w:rsid w:val="00F32E3C"/>
    <w:rsid w:val="00F339BC"/>
    <w:rsid w:val="00F34E05"/>
    <w:rsid w:val="00F37124"/>
    <w:rsid w:val="00F41A56"/>
    <w:rsid w:val="00F4290C"/>
    <w:rsid w:val="00F438B5"/>
    <w:rsid w:val="00F451AD"/>
    <w:rsid w:val="00F463BA"/>
    <w:rsid w:val="00F47256"/>
    <w:rsid w:val="00F47A99"/>
    <w:rsid w:val="00F50215"/>
    <w:rsid w:val="00F51DA8"/>
    <w:rsid w:val="00F53E53"/>
    <w:rsid w:val="00F547FB"/>
    <w:rsid w:val="00F60E6F"/>
    <w:rsid w:val="00F6527B"/>
    <w:rsid w:val="00F66961"/>
    <w:rsid w:val="00F67E6C"/>
    <w:rsid w:val="00F70C8A"/>
    <w:rsid w:val="00F70D43"/>
    <w:rsid w:val="00F72DDC"/>
    <w:rsid w:val="00F72E37"/>
    <w:rsid w:val="00F73016"/>
    <w:rsid w:val="00F73B6E"/>
    <w:rsid w:val="00F73D71"/>
    <w:rsid w:val="00F75C98"/>
    <w:rsid w:val="00F778F8"/>
    <w:rsid w:val="00F832A3"/>
    <w:rsid w:val="00F83B15"/>
    <w:rsid w:val="00F84850"/>
    <w:rsid w:val="00F855C6"/>
    <w:rsid w:val="00F8608D"/>
    <w:rsid w:val="00F94D33"/>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0A1"/>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1EE"/>
    <w:rsid w:val="00FE17D7"/>
    <w:rsid w:val="00FE396B"/>
    <w:rsid w:val="00FE44EE"/>
    <w:rsid w:val="00FE5464"/>
    <w:rsid w:val="00FE5A3E"/>
    <w:rsid w:val="00FE654B"/>
    <w:rsid w:val="00FE6E12"/>
    <w:rsid w:val="00FE6ECB"/>
    <w:rsid w:val="00FE7444"/>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9C4257F"/>
    <w:rsid w:val="2D5C26B0"/>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1E165E"/>
    <w:rsid w:val="6F376AE5"/>
    <w:rsid w:val="6F581245"/>
    <w:rsid w:val="70A8632E"/>
    <w:rsid w:val="70E015B7"/>
    <w:rsid w:val="747B6D6D"/>
    <w:rsid w:val="75171DCD"/>
    <w:rsid w:val="78A2429F"/>
    <w:rsid w:val="7A7D47A3"/>
    <w:rsid w:val="7DB76CC0"/>
    <w:rsid w:val="7E3E7DA3"/>
    <w:rsid w:val="7F7FF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7"/>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sdu</Company>
  <Pages>21</Pages>
  <Words>2806</Words>
  <Characters>15999</Characters>
  <Lines>133</Lines>
  <Paragraphs>37</Paragraphs>
  <TotalTime>2398</TotalTime>
  <ScaleCrop>false</ScaleCrop>
  <LinksUpToDate>false</LinksUpToDate>
  <CharactersWithSpaces>18768</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2022-03-02T19:26:00Z</dcterms:created>
  <dc:creator>LIU</dc:creator>
  <cp:lastModifiedBy>涛涛</cp:lastModifiedBy>
  <cp:lastPrinted>2022-03-29T02:54:00Z</cp:lastPrinted>
  <dcterms:modified xsi:type="dcterms:W3CDTF">2022-06-23T03:35:00Z</dcterms:modified>
  <dc:title>*</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B43CED5EFB7D4D299995FE7045CB6B43</vt:lpwstr>
  </property>
</Properties>
</file>